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8E72F3" w14:textId="662246B6" w:rsidR="00D309CC" w:rsidRDefault="00D309CC" w:rsidP="00D46431">
      <w:pPr>
        <w:pStyle w:val="CH"/>
      </w:pPr>
      <w:bookmarkStart w:id="0" w:name="historyclause"/>
      <w:r w:rsidRPr="00EB22F4">
        <w:t>3GPP RAN</w:t>
      </w:r>
      <w:r w:rsidR="00CF20E3" w:rsidRPr="00EB22F4">
        <w:t xml:space="preserve"> </w:t>
      </w:r>
      <w:r w:rsidR="00A255D6">
        <w:t>TSG</w:t>
      </w:r>
      <w:r w:rsidRPr="00EB22F4">
        <w:t xml:space="preserve"> Meeting #</w:t>
      </w:r>
      <w:r w:rsidR="00A255D6">
        <w:t>9</w:t>
      </w:r>
      <w:r w:rsidR="009876B4">
        <w:t>1</w:t>
      </w:r>
      <w:r>
        <w:tab/>
      </w:r>
      <w:r w:rsidR="00D46431">
        <w:tab/>
      </w:r>
      <w:r w:rsidR="003F6793" w:rsidRPr="00D857BA">
        <w:t>RP-2</w:t>
      </w:r>
      <w:r w:rsidR="00D857BA" w:rsidRPr="00D857BA">
        <w:t>10483</w:t>
      </w:r>
    </w:p>
    <w:p w14:paraId="50DC9730" w14:textId="248EE9B6" w:rsidR="00D309CC" w:rsidRPr="00FD166F" w:rsidRDefault="003B4652" w:rsidP="00D46431">
      <w:pPr>
        <w:pStyle w:val="CH"/>
        <w:tabs>
          <w:tab w:val="clear" w:pos="7920"/>
        </w:tabs>
        <w:rPr>
          <w:b w:val="0"/>
        </w:rPr>
      </w:pPr>
      <w:r w:rsidRPr="003B4652">
        <w:t xml:space="preserve">Electronic meeting, </w:t>
      </w:r>
      <w:r w:rsidR="009876B4">
        <w:t>16</w:t>
      </w:r>
      <w:r w:rsidRPr="003B4652">
        <w:t xml:space="preserve"> – </w:t>
      </w:r>
      <w:r w:rsidR="009876B4">
        <w:t>26</w:t>
      </w:r>
      <w:r w:rsidRPr="003B4652">
        <w:t xml:space="preserve">th </w:t>
      </w:r>
      <w:r w:rsidR="009876B4">
        <w:t>March</w:t>
      </w:r>
      <w:r w:rsidRPr="003B4652">
        <w:t xml:space="preserve"> 202</w:t>
      </w:r>
      <w:r w:rsidR="009876B4">
        <w:t>1</w:t>
      </w:r>
      <w:r w:rsidR="00D46431">
        <w:tab/>
      </w:r>
    </w:p>
    <w:p w14:paraId="39A0EE25" w14:textId="77777777" w:rsidR="00D309CC" w:rsidRDefault="00D309CC" w:rsidP="00D309CC">
      <w:pPr>
        <w:tabs>
          <w:tab w:val="left" w:pos="2160"/>
        </w:tabs>
        <w:rPr>
          <w:rFonts w:ascii="Arial" w:hAnsi="Arial" w:cs="Arial"/>
          <w:b/>
        </w:rPr>
      </w:pPr>
    </w:p>
    <w:p w14:paraId="6DDCE159" w14:textId="5F5B2BFD" w:rsidR="00D309CC" w:rsidRPr="0008103A" w:rsidRDefault="00D309CC" w:rsidP="00D309CC">
      <w:pPr>
        <w:pStyle w:val="CH"/>
        <w:rPr>
          <w:b w:val="0"/>
        </w:rPr>
      </w:pPr>
      <w:r w:rsidRPr="0008103A">
        <w:t>Agenda item:</w:t>
      </w:r>
      <w:r>
        <w:tab/>
      </w:r>
      <w:r w:rsidR="00A255D6">
        <w:t>9.</w:t>
      </w:r>
      <w:r w:rsidR="00112A20">
        <w:t>7.2</w:t>
      </w:r>
    </w:p>
    <w:p w14:paraId="4DBE005A" w14:textId="77777777" w:rsidR="00D309CC" w:rsidRPr="0008103A" w:rsidRDefault="00D309CC" w:rsidP="00D309CC">
      <w:pPr>
        <w:pStyle w:val="CH"/>
        <w:rPr>
          <w:b w:val="0"/>
        </w:rPr>
      </w:pPr>
      <w:r>
        <w:t>Source:</w:t>
      </w:r>
      <w:r>
        <w:tab/>
        <w:t>Apple Inc.</w:t>
      </w:r>
    </w:p>
    <w:p w14:paraId="0D2061A1" w14:textId="37F09C87" w:rsidR="00D309CC" w:rsidRDefault="00D309CC" w:rsidP="00112D80">
      <w:pPr>
        <w:pStyle w:val="CH"/>
        <w:ind w:left="2268" w:hanging="2268"/>
      </w:pPr>
      <w:r w:rsidRPr="0008103A">
        <w:t>Title:</w:t>
      </w:r>
      <w:r w:rsidRPr="0008103A">
        <w:tab/>
      </w:r>
      <w:r w:rsidR="00300BA9">
        <w:t>On</w:t>
      </w:r>
      <w:r w:rsidR="00A255D6" w:rsidRPr="00A255D6">
        <w:t xml:space="preserve"> the frequency range </w:t>
      </w:r>
      <w:r w:rsidR="00D857BA">
        <w:t xml:space="preserve">of </w:t>
      </w:r>
      <w:r w:rsidR="00A255D6" w:rsidRPr="00A255D6">
        <w:t>52.6 GHz to 71 GHz</w:t>
      </w:r>
    </w:p>
    <w:p w14:paraId="052B1E0C" w14:textId="0C8D921B" w:rsidR="00104BC6" w:rsidRDefault="00104BC6" w:rsidP="00D309CC">
      <w:pPr>
        <w:pStyle w:val="CH"/>
      </w:pPr>
      <w:r>
        <w:t>WI/SI:</w:t>
      </w:r>
      <w:r>
        <w:tab/>
      </w:r>
      <w:r w:rsidR="00112D80" w:rsidRPr="00112D80">
        <w:t>FS_NR_52_to_71GHz</w:t>
      </w:r>
    </w:p>
    <w:p w14:paraId="6C6D1281" w14:textId="205E24E7" w:rsidR="00104BC6" w:rsidRDefault="00104BC6" w:rsidP="00D309CC">
      <w:pPr>
        <w:pStyle w:val="CH"/>
        <w:rPr>
          <w:b w:val="0"/>
        </w:rPr>
      </w:pPr>
      <w:r>
        <w:t>Release:</w:t>
      </w:r>
      <w:r>
        <w:tab/>
      </w:r>
      <w:r w:rsidRPr="00112D80">
        <w:t>Rel-</w:t>
      </w:r>
      <w:r w:rsidR="00112D80" w:rsidRPr="00112D80">
        <w:t>17</w:t>
      </w:r>
    </w:p>
    <w:p w14:paraId="2E4E044D" w14:textId="0BD8F9AD" w:rsidR="00D309CC" w:rsidRDefault="00D309CC" w:rsidP="00D309CC">
      <w:pPr>
        <w:pStyle w:val="CH"/>
      </w:pPr>
      <w:r>
        <w:t>Document for:</w:t>
      </w:r>
      <w:r>
        <w:tab/>
      </w:r>
      <w:r w:rsidR="00262167">
        <w:t>App</w:t>
      </w:r>
      <w:r w:rsidR="00D857BA">
        <w:t>r</w:t>
      </w:r>
      <w:r w:rsidR="00262167">
        <w:t>oval</w:t>
      </w:r>
    </w:p>
    <w:p w14:paraId="0207DB43" w14:textId="77777777" w:rsidR="00D46431" w:rsidRPr="0008103A" w:rsidRDefault="00D46431" w:rsidP="00D309CC">
      <w:pPr>
        <w:pStyle w:val="CH"/>
        <w:rPr>
          <w:b w:val="0"/>
        </w:rPr>
      </w:pPr>
    </w:p>
    <w:p w14:paraId="0273524A" w14:textId="0A1A91E8" w:rsidR="008E7986" w:rsidRDefault="008E7986" w:rsidP="00E22E04">
      <w:pPr>
        <w:pStyle w:val="Heading1"/>
        <w:numPr>
          <w:ilvl w:val="0"/>
          <w:numId w:val="15"/>
        </w:numPr>
      </w:pPr>
      <w:r w:rsidRPr="004D3578">
        <w:t>Introduction</w:t>
      </w:r>
      <w:r>
        <w:t xml:space="preserve"> </w:t>
      </w:r>
    </w:p>
    <w:p w14:paraId="52B5588C" w14:textId="790BBC56" w:rsidR="00E22E04" w:rsidRDefault="00DD03DF" w:rsidP="00DD03DF">
      <w:pPr>
        <w:pStyle w:val="B1"/>
        <w:overflowPunct w:val="0"/>
        <w:autoSpaceDE w:val="0"/>
        <w:autoSpaceDN w:val="0"/>
        <w:adjustRightInd w:val="0"/>
        <w:spacing w:before="180" w:after="180"/>
        <w:ind w:left="0" w:firstLine="0"/>
        <w:textAlignment w:val="baseline"/>
        <w:rPr>
          <w:sz w:val="20"/>
          <w:szCs w:val="20"/>
          <w:lang w:eastAsia="ja-JP"/>
        </w:rPr>
      </w:pPr>
      <w:r>
        <w:rPr>
          <w:sz w:val="20"/>
          <w:szCs w:val="20"/>
          <w:lang w:eastAsia="ja-JP"/>
        </w:rPr>
        <w:t xml:space="preserve">In RAN#90e, it was agreed in the revised WID [1] that </w:t>
      </w:r>
    </w:p>
    <w:p w14:paraId="52FAACDF" w14:textId="77777777" w:rsidR="00E22E04" w:rsidRPr="00E22E04" w:rsidRDefault="00E22E04" w:rsidP="00262167">
      <w:pPr>
        <w:pStyle w:val="B2"/>
        <w:ind w:left="284" w:firstLine="0"/>
        <w:rPr>
          <w:sz w:val="20"/>
          <w:szCs w:val="20"/>
        </w:rPr>
      </w:pPr>
      <w:bookmarkStart w:id="1" w:name="_Hlk58594589"/>
      <w:r w:rsidRPr="00E22E04">
        <w:rPr>
          <w:rFonts w:hint="eastAsia"/>
          <w:sz w:val="20"/>
          <w:szCs w:val="20"/>
          <w:highlight w:val="yellow"/>
        </w:rPr>
        <w:t>Note</w:t>
      </w:r>
      <w:r w:rsidRPr="00E22E04">
        <w:rPr>
          <w:sz w:val="20"/>
          <w:szCs w:val="20"/>
          <w:highlight w:val="yellow"/>
        </w:rPr>
        <w:t xml:space="preserve"> 5</w:t>
      </w:r>
      <w:r w:rsidRPr="00E22E04">
        <w:rPr>
          <w:rFonts w:hint="eastAsia"/>
          <w:sz w:val="20"/>
          <w:szCs w:val="20"/>
          <w:highlight w:val="yellow"/>
        </w:rPr>
        <w:t xml:space="preserve">: RAN plenary will decide </w:t>
      </w:r>
      <w:bookmarkEnd w:id="1"/>
      <w:r w:rsidRPr="00E22E04">
        <w:rPr>
          <w:rFonts w:hint="eastAsia"/>
          <w:sz w:val="20"/>
          <w:szCs w:val="20"/>
          <w:highlight w:val="yellow"/>
        </w:rPr>
        <w:t>whether new FR (e.g. FR3) shall be defined for the frequency range from 52.6GHz-71GHz or the existing FR2 shall be extended to cover frequency range from 52.6GHz-71GHz.</w:t>
      </w:r>
    </w:p>
    <w:p w14:paraId="527914AA" w14:textId="0FD055A0" w:rsidR="00E22E04" w:rsidRPr="00E22E04" w:rsidRDefault="00E22E04" w:rsidP="00E22E04">
      <w:pPr>
        <w:rPr>
          <w:lang w:eastAsia="en-US"/>
        </w:rPr>
      </w:pPr>
    </w:p>
    <w:p w14:paraId="6913FB29" w14:textId="4E02D6D6" w:rsidR="00DD03DF" w:rsidRDefault="00DD03DF" w:rsidP="00112A20">
      <w:pPr>
        <w:spacing w:before="100" w:beforeAutospacing="1" w:after="100" w:afterAutospacing="1"/>
        <w:rPr>
          <w:sz w:val="20"/>
          <w:szCs w:val="20"/>
        </w:rPr>
      </w:pPr>
      <w:r>
        <w:rPr>
          <w:sz w:val="20"/>
          <w:szCs w:val="20"/>
        </w:rPr>
        <w:t xml:space="preserve">Such decision made is mainly from the consideration of the </w:t>
      </w:r>
      <w:r w:rsidRPr="00DD03DF">
        <w:rPr>
          <w:sz w:val="20"/>
          <w:szCs w:val="20"/>
        </w:rPr>
        <w:t>RAN4’s workload</w:t>
      </w:r>
      <w:r>
        <w:rPr>
          <w:sz w:val="20"/>
          <w:szCs w:val="20"/>
        </w:rPr>
        <w:t xml:space="preserve">. The related issues have been discussed in both RAN#90e and RAN4#98e and opinions from interested companies are quite diverged. </w:t>
      </w:r>
    </w:p>
    <w:p w14:paraId="454200A4" w14:textId="506694F4" w:rsidR="00112A20" w:rsidRDefault="00DD03DF" w:rsidP="00112A20">
      <w:pPr>
        <w:spacing w:before="100" w:beforeAutospacing="1" w:after="100" w:afterAutospacing="1"/>
      </w:pPr>
      <w:r>
        <w:rPr>
          <w:sz w:val="20"/>
          <w:szCs w:val="20"/>
        </w:rPr>
        <w:t xml:space="preserve">In this contribution, we outline the potential impacts due to the potential decision made in the RAN plenary from RAN1/2/4 perspectives, respectively. It is further proposed </w:t>
      </w:r>
      <w:r w:rsidR="00262167">
        <w:rPr>
          <w:sz w:val="20"/>
          <w:szCs w:val="20"/>
        </w:rPr>
        <w:t xml:space="preserve">how such discussion and decision should be handled and made in the plenary. It is concluded based on the analysis that RAN WGs’ inputs are critical for RAN plenary to make the eventual decision. </w:t>
      </w:r>
      <w:r w:rsidR="00112A20">
        <w:t> </w:t>
      </w:r>
    </w:p>
    <w:p w14:paraId="6E0AEB69" w14:textId="77777777" w:rsidR="00833358" w:rsidRDefault="00833358" w:rsidP="008E7986"/>
    <w:p w14:paraId="7228DA19" w14:textId="4A7CA97F" w:rsidR="00E72324" w:rsidRDefault="008E7986" w:rsidP="00112D80">
      <w:pPr>
        <w:pStyle w:val="Heading1"/>
      </w:pPr>
      <w:r>
        <w:t>2</w:t>
      </w:r>
      <w:r>
        <w:tab/>
      </w:r>
      <w:r w:rsidR="00300BA9">
        <w:t xml:space="preserve">Some considerations </w:t>
      </w:r>
      <w:r w:rsidR="00300BA9">
        <w:rPr>
          <w:lang w:val="en-US"/>
        </w:rPr>
        <w:t>o</w:t>
      </w:r>
      <w:r w:rsidR="00300BA9" w:rsidRPr="00300BA9">
        <w:rPr>
          <w:lang w:val="en-US"/>
        </w:rPr>
        <w:t>n the frequency range 52.6 GHz to 71 GHz</w:t>
      </w:r>
    </w:p>
    <w:p w14:paraId="58B4B435" w14:textId="77777777" w:rsidR="0036620E" w:rsidRDefault="0036620E" w:rsidP="00826E3B"/>
    <w:p w14:paraId="5B4E6C69" w14:textId="356F7916" w:rsidR="00300BA9" w:rsidRPr="00384F83" w:rsidRDefault="00300BA9" w:rsidP="005273BE">
      <w:pPr>
        <w:spacing w:beforeAutospacing="1" w:after="100" w:afterAutospacing="1"/>
        <w:rPr>
          <w:sz w:val="20"/>
          <w:szCs w:val="20"/>
        </w:rPr>
      </w:pPr>
      <w:r w:rsidRPr="00384F83">
        <w:rPr>
          <w:sz w:val="20"/>
          <w:szCs w:val="20"/>
        </w:rPr>
        <w:t>In RAN#90e, it was agreed</w:t>
      </w:r>
      <w:r w:rsidR="005273BE" w:rsidRPr="00384F83">
        <w:rPr>
          <w:sz w:val="20"/>
          <w:szCs w:val="20"/>
        </w:rPr>
        <w:t xml:space="preserve"> [1]</w:t>
      </w:r>
      <w:r w:rsidRPr="00384F83">
        <w:rPr>
          <w:sz w:val="20"/>
          <w:szCs w:val="20"/>
        </w:rPr>
        <w:t xml:space="preserve"> that RAN plenary will decide whether new FR (e.g. FR3) shall be defined for the frequency range from 52.6GHz-71GHz or the existing FR2 shall be extended to cover </w:t>
      </w:r>
      <w:r w:rsidR="00542052" w:rsidRPr="00384F83">
        <w:rPr>
          <w:sz w:val="20"/>
          <w:szCs w:val="20"/>
        </w:rPr>
        <w:t xml:space="preserve">the </w:t>
      </w:r>
      <w:r w:rsidRPr="00384F83">
        <w:rPr>
          <w:sz w:val="20"/>
          <w:szCs w:val="20"/>
        </w:rPr>
        <w:t xml:space="preserve">frequency range from 52.6GHz-71GHz. To make such </w:t>
      </w:r>
      <w:r w:rsidR="00542052" w:rsidRPr="00384F83">
        <w:rPr>
          <w:sz w:val="20"/>
          <w:szCs w:val="20"/>
        </w:rPr>
        <w:t xml:space="preserve">a </w:t>
      </w:r>
      <w:r w:rsidRPr="00384F83">
        <w:rPr>
          <w:sz w:val="20"/>
          <w:szCs w:val="20"/>
        </w:rPr>
        <w:t>decision, at least the following aspects should be considered and clarified</w:t>
      </w:r>
      <w:r w:rsidR="00542052" w:rsidRPr="00384F83">
        <w:rPr>
          <w:sz w:val="20"/>
          <w:szCs w:val="20"/>
        </w:rPr>
        <w:t>:</w:t>
      </w:r>
      <w:r w:rsidRPr="00384F83">
        <w:rPr>
          <w:sz w:val="20"/>
          <w:szCs w:val="20"/>
        </w:rPr>
        <w:t> </w:t>
      </w:r>
    </w:p>
    <w:p w14:paraId="452E6C14" w14:textId="179CC353" w:rsidR="00300BA9" w:rsidRPr="00384F83" w:rsidRDefault="00300BA9" w:rsidP="005273BE">
      <w:pPr>
        <w:numPr>
          <w:ilvl w:val="0"/>
          <w:numId w:val="12"/>
        </w:numPr>
        <w:tabs>
          <w:tab w:val="clear" w:pos="720"/>
          <w:tab w:val="num" w:pos="-360"/>
        </w:tabs>
        <w:spacing w:before="100" w:beforeAutospacing="1" w:after="100" w:afterAutospacing="1"/>
        <w:ind w:left="360"/>
        <w:rPr>
          <w:sz w:val="20"/>
          <w:szCs w:val="20"/>
        </w:rPr>
      </w:pPr>
      <w:r w:rsidRPr="00384F83">
        <w:rPr>
          <w:sz w:val="20"/>
          <w:szCs w:val="20"/>
        </w:rPr>
        <w:t xml:space="preserve">UE architecture: </w:t>
      </w:r>
      <w:r w:rsidR="00542052" w:rsidRPr="00384F83">
        <w:rPr>
          <w:sz w:val="20"/>
          <w:szCs w:val="20"/>
        </w:rPr>
        <w:t xml:space="preserve">The </w:t>
      </w:r>
      <w:r w:rsidRPr="00384F83">
        <w:rPr>
          <w:sz w:val="20"/>
          <w:szCs w:val="20"/>
        </w:rPr>
        <w:t>UE architecture for </w:t>
      </w:r>
      <w:r w:rsidR="00542052" w:rsidRPr="00384F83">
        <w:rPr>
          <w:sz w:val="20"/>
          <w:szCs w:val="20"/>
        </w:rPr>
        <w:t xml:space="preserve">the </w:t>
      </w:r>
      <w:r w:rsidRPr="00384F83">
        <w:rPr>
          <w:sz w:val="20"/>
          <w:szCs w:val="20"/>
          <w:lang w:val="en-GB"/>
        </w:rPr>
        <w:t>frequency range from 52.6GHz-71GHz</w:t>
      </w:r>
      <w:r w:rsidRPr="00384F83">
        <w:rPr>
          <w:sz w:val="20"/>
          <w:szCs w:val="20"/>
        </w:rPr>
        <w:t> is still unclear. Since Rel-15, many of existing FR2 requirements are specified based on the assumptions of discrete RFIC</w:t>
      </w:r>
      <w:r w:rsidR="00542052" w:rsidRPr="00384F83">
        <w:rPr>
          <w:sz w:val="20"/>
          <w:szCs w:val="20"/>
        </w:rPr>
        <w:t>s</w:t>
      </w:r>
      <w:r w:rsidRPr="00384F83">
        <w:rPr>
          <w:sz w:val="20"/>
          <w:szCs w:val="20"/>
        </w:rPr>
        <w:t xml:space="preserve"> for FR1 and FR2 separately. It is not clear as of now if 60GHz will be integrated </w:t>
      </w:r>
      <w:r w:rsidR="00542052" w:rsidRPr="00384F83">
        <w:rPr>
          <w:sz w:val="20"/>
          <w:szCs w:val="20"/>
        </w:rPr>
        <w:t xml:space="preserve">with </w:t>
      </w:r>
      <w:r w:rsidRPr="00384F83">
        <w:rPr>
          <w:sz w:val="20"/>
          <w:szCs w:val="20"/>
        </w:rPr>
        <w:t xml:space="preserve">or separated </w:t>
      </w:r>
      <w:r w:rsidR="00542052" w:rsidRPr="00384F83">
        <w:rPr>
          <w:sz w:val="20"/>
          <w:szCs w:val="20"/>
        </w:rPr>
        <w:t xml:space="preserve">from </w:t>
      </w:r>
      <w:r w:rsidR="00D857BA" w:rsidRPr="00384F83">
        <w:rPr>
          <w:sz w:val="20"/>
          <w:szCs w:val="20"/>
        </w:rPr>
        <w:t>the FR</w:t>
      </w:r>
      <w:r w:rsidRPr="00384F83">
        <w:rPr>
          <w:sz w:val="20"/>
          <w:szCs w:val="20"/>
        </w:rPr>
        <w:t>2 RFIC. Depending on the different architecture</w:t>
      </w:r>
      <w:r w:rsidR="00542052" w:rsidRPr="00384F83">
        <w:rPr>
          <w:sz w:val="20"/>
          <w:szCs w:val="20"/>
        </w:rPr>
        <w:t>s</w:t>
      </w:r>
      <w:r w:rsidRPr="00384F83">
        <w:rPr>
          <w:sz w:val="20"/>
          <w:szCs w:val="20"/>
        </w:rPr>
        <w:t xml:space="preserve"> for FR1+FR2+60GHz, existing FR2 features and requirements may not be easily extended to the </w:t>
      </w:r>
      <w:r w:rsidRPr="00384F83">
        <w:rPr>
          <w:sz w:val="20"/>
          <w:szCs w:val="20"/>
          <w:lang w:val="en-GB"/>
        </w:rPr>
        <w:t>frequency range from 52.6GHz-71GHz.</w:t>
      </w:r>
      <w:r w:rsidRPr="00384F83">
        <w:rPr>
          <w:sz w:val="20"/>
          <w:szCs w:val="20"/>
        </w:rPr>
        <w:t> </w:t>
      </w:r>
    </w:p>
    <w:p w14:paraId="05372309" w14:textId="03E481B3" w:rsidR="00B211C1" w:rsidRPr="00384F83" w:rsidRDefault="00300BA9" w:rsidP="00B211C1">
      <w:pPr>
        <w:numPr>
          <w:ilvl w:val="0"/>
          <w:numId w:val="13"/>
        </w:numPr>
        <w:tabs>
          <w:tab w:val="clear" w:pos="720"/>
          <w:tab w:val="num" w:pos="-360"/>
        </w:tabs>
        <w:spacing w:before="100" w:beforeAutospacing="1" w:after="100" w:afterAutospacing="1"/>
        <w:ind w:left="360"/>
        <w:rPr>
          <w:sz w:val="20"/>
          <w:szCs w:val="20"/>
        </w:rPr>
      </w:pPr>
      <w:r w:rsidRPr="00384F83">
        <w:rPr>
          <w:sz w:val="20"/>
          <w:szCs w:val="20"/>
        </w:rPr>
        <w:t xml:space="preserve">Existing FR2 features: due to the uncertainty of </w:t>
      </w:r>
      <w:r w:rsidR="00542052" w:rsidRPr="00384F83">
        <w:rPr>
          <w:sz w:val="20"/>
          <w:szCs w:val="20"/>
        </w:rPr>
        <w:t xml:space="preserve">the </w:t>
      </w:r>
      <w:r w:rsidRPr="00384F83">
        <w:rPr>
          <w:sz w:val="20"/>
          <w:szCs w:val="20"/>
        </w:rPr>
        <w:t xml:space="preserve">UE architecture and ongoing discussion in RAN1, it is not straightforward if and how the existing FR2 features and requirements can be directly extended.  If 60GHz specific new features and/or requirements are introduced under the umbrella of FR2, significant efforts on spec revisions are expected to differentiate 60GHz from the existing FR2 bands. </w:t>
      </w:r>
      <w:r w:rsidR="005273BE" w:rsidRPr="00384F83">
        <w:rPr>
          <w:sz w:val="20"/>
          <w:szCs w:val="20"/>
        </w:rPr>
        <w:t xml:space="preserve">Some preliminary analysis has been done on </w:t>
      </w:r>
      <w:r w:rsidRPr="00384F83">
        <w:rPr>
          <w:sz w:val="20"/>
          <w:szCs w:val="20"/>
        </w:rPr>
        <w:t xml:space="preserve">FR2 features and requirements </w:t>
      </w:r>
      <w:r w:rsidR="005273BE" w:rsidRPr="00384F83">
        <w:rPr>
          <w:sz w:val="20"/>
          <w:szCs w:val="20"/>
        </w:rPr>
        <w:t>which may not be able to be directly extended to 60GHz.</w:t>
      </w:r>
    </w:p>
    <w:p w14:paraId="23231074" w14:textId="2D76101C" w:rsidR="00B211C1" w:rsidRPr="00384F83" w:rsidRDefault="00B211C1" w:rsidP="00B211C1">
      <w:pPr>
        <w:numPr>
          <w:ilvl w:val="0"/>
          <w:numId w:val="13"/>
        </w:numPr>
        <w:tabs>
          <w:tab w:val="clear" w:pos="720"/>
          <w:tab w:val="num" w:pos="-360"/>
        </w:tabs>
        <w:spacing w:before="100" w:beforeAutospacing="1" w:after="100" w:afterAutospacing="1"/>
        <w:ind w:left="360"/>
        <w:rPr>
          <w:sz w:val="20"/>
          <w:szCs w:val="20"/>
        </w:rPr>
      </w:pPr>
      <w:r w:rsidRPr="00384F83">
        <w:rPr>
          <w:sz w:val="20"/>
          <w:szCs w:val="20"/>
        </w:rPr>
        <w:t>Band agnostic principles: As discussed by RAN WG1 and WG4, supporting the 52.6 to 71GHz frequency range will require new system level parameters, such as new sub-carrier spacing, new minimum and maximum channel bandwidth, etc. Every frequency range has associated system parameters that inextricably define common requirements for all the bands in the corresponding range. If FR2 is reused for 52.6 to 71GHz range, then this logic will break as different bands will have different associated mandatory parameters.</w:t>
      </w:r>
    </w:p>
    <w:p w14:paraId="41504683" w14:textId="78542498" w:rsidR="00B211C1" w:rsidRPr="00384F83" w:rsidRDefault="00B211C1" w:rsidP="00B211C1">
      <w:pPr>
        <w:spacing w:before="100" w:beforeAutospacing="1" w:after="100" w:afterAutospacing="1"/>
        <w:rPr>
          <w:sz w:val="20"/>
          <w:szCs w:val="20"/>
        </w:rPr>
      </w:pPr>
      <w:r w:rsidRPr="00384F83">
        <w:rPr>
          <w:sz w:val="20"/>
          <w:szCs w:val="20"/>
        </w:rPr>
        <w:lastRenderedPageBreak/>
        <w:t xml:space="preserve">In the following sub-sections, we present some preliminary analysis on existing FR2 features and requirements identifying which features it may not be able to extend directly to 60GHz. At the same time, we also present potentially negative consequences if a completely new frequency range, e.g. FR3, is introduced.  </w:t>
      </w:r>
    </w:p>
    <w:p w14:paraId="02E723DC" w14:textId="2384603D" w:rsidR="005273BE" w:rsidRDefault="005273BE" w:rsidP="005273BE">
      <w:pPr>
        <w:pStyle w:val="Heading2"/>
      </w:pPr>
      <w:r>
        <w:t>2.1 RRM requirements in RAN4</w:t>
      </w:r>
    </w:p>
    <w:p w14:paraId="1CDCD0DA" w14:textId="56F594AB" w:rsidR="005273BE" w:rsidRPr="0028112D"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542052">
        <w:rPr>
          <w:color w:val="000000"/>
          <w:sz w:val="20"/>
          <w:szCs w:val="20"/>
        </w:rPr>
        <w:t xml:space="preserve">the </w:t>
      </w:r>
      <w:r w:rsidRPr="0028112D">
        <w:rPr>
          <w:color w:val="000000"/>
          <w:sz w:val="20"/>
          <w:szCs w:val="20"/>
        </w:rPr>
        <w:t xml:space="preserve">current RRM spec, the requirements are designed in a band agnostic manner for a specific FR and therefore it </w:t>
      </w:r>
      <w:r w:rsidR="00E45E4A">
        <w:rPr>
          <w:color w:val="000000"/>
          <w:sz w:val="20"/>
          <w:szCs w:val="20"/>
        </w:rPr>
        <w:t xml:space="preserve">should be carefully evaluated if </w:t>
      </w:r>
      <w:r w:rsidRPr="0028112D">
        <w:rPr>
          <w:color w:val="000000"/>
          <w:sz w:val="20"/>
          <w:szCs w:val="20"/>
        </w:rPr>
        <w:t>FR2 RRM requirement</w:t>
      </w:r>
      <w:r w:rsidR="00E45E4A">
        <w:rPr>
          <w:color w:val="000000"/>
          <w:sz w:val="20"/>
          <w:szCs w:val="20"/>
        </w:rPr>
        <w:t>s can be directly extended</w:t>
      </w:r>
      <w:r w:rsidRPr="0028112D">
        <w:rPr>
          <w:color w:val="000000"/>
          <w:sz w:val="20"/>
          <w:szCs w:val="20"/>
        </w:rPr>
        <w:t xml:space="preserve"> to cover 60GHz </w:t>
      </w:r>
      <w:r w:rsidR="00E45E4A">
        <w:rPr>
          <w:color w:val="000000"/>
          <w:sz w:val="20"/>
          <w:szCs w:val="20"/>
        </w:rPr>
        <w:t>spectrum</w:t>
      </w:r>
      <w:r w:rsidRPr="0028112D">
        <w:rPr>
          <w:color w:val="000000"/>
          <w:sz w:val="20"/>
          <w:szCs w:val="20"/>
        </w:rPr>
        <w:t xml:space="preserve">. </w:t>
      </w:r>
      <w:r w:rsidR="00E45E4A">
        <w:rPr>
          <w:color w:val="000000"/>
          <w:sz w:val="20"/>
          <w:szCs w:val="20"/>
        </w:rPr>
        <w:t>Based on some preliminary analysis, at least the following issues are subject to further study</w:t>
      </w:r>
      <w:r w:rsidR="00542052">
        <w:rPr>
          <w:color w:val="000000"/>
          <w:sz w:val="20"/>
          <w:szCs w:val="20"/>
        </w:rPr>
        <w:t>:</w:t>
      </w:r>
      <w:r w:rsidR="00E45E4A">
        <w:rPr>
          <w:color w:val="000000"/>
          <w:sz w:val="20"/>
          <w:szCs w:val="20"/>
        </w:rPr>
        <w:t xml:space="preserve"> </w:t>
      </w:r>
    </w:p>
    <w:p w14:paraId="5E44EDB2" w14:textId="77777777" w:rsidR="005273BE" w:rsidRPr="0028112D" w:rsidRDefault="005273BE" w:rsidP="005273BE">
      <w:pPr>
        <w:autoSpaceDE w:val="0"/>
        <w:autoSpaceDN w:val="0"/>
        <w:adjustRightInd w:val="0"/>
        <w:jc w:val="both"/>
        <w:rPr>
          <w:color w:val="000000"/>
          <w:sz w:val="20"/>
          <w:szCs w:val="20"/>
        </w:rPr>
      </w:pPr>
    </w:p>
    <w:p w14:paraId="155FAFD7" w14:textId="2CE82E15" w:rsidR="005273BE" w:rsidRPr="00E45E4A" w:rsidRDefault="005273BE" w:rsidP="005273BE">
      <w:pPr>
        <w:pStyle w:val="ListParagraph"/>
        <w:numPr>
          <w:ilvl w:val="0"/>
          <w:numId w:val="14"/>
        </w:numPr>
        <w:autoSpaceDE w:val="0"/>
        <w:autoSpaceDN w:val="0"/>
        <w:adjustRightInd w:val="0"/>
        <w:jc w:val="both"/>
        <w:rPr>
          <w:b/>
          <w:bCs/>
          <w:color w:val="000000"/>
          <w:sz w:val="20"/>
          <w:szCs w:val="20"/>
          <w:u w:val="single"/>
        </w:rPr>
      </w:pPr>
      <w:r w:rsidRPr="00E45E4A">
        <w:rPr>
          <w:b/>
          <w:bCs/>
          <w:color w:val="000000"/>
          <w:sz w:val="20"/>
          <w:szCs w:val="20"/>
          <w:u w:val="single"/>
        </w:rPr>
        <w:t>Measurement gap</w:t>
      </w:r>
    </w:p>
    <w:p w14:paraId="623C9C24" w14:textId="77777777" w:rsidR="00E45E4A" w:rsidRPr="0028112D" w:rsidRDefault="00E45E4A" w:rsidP="00E45E4A">
      <w:pPr>
        <w:pStyle w:val="ListParagraph"/>
        <w:autoSpaceDE w:val="0"/>
        <w:autoSpaceDN w:val="0"/>
        <w:adjustRightInd w:val="0"/>
        <w:ind w:left="360"/>
        <w:jc w:val="both"/>
        <w:rPr>
          <w:color w:val="000000"/>
          <w:sz w:val="20"/>
          <w:szCs w:val="20"/>
        </w:rPr>
      </w:pPr>
    </w:p>
    <w:p w14:paraId="12E98D58" w14:textId="320297D7" w:rsidR="005273BE"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542052">
        <w:rPr>
          <w:color w:val="000000"/>
          <w:sz w:val="20"/>
          <w:szCs w:val="20"/>
        </w:rPr>
        <w:t xml:space="preserve">the </w:t>
      </w:r>
      <w:r w:rsidRPr="0028112D">
        <w:rPr>
          <w:color w:val="000000"/>
          <w:sz w:val="20"/>
          <w:szCs w:val="20"/>
        </w:rPr>
        <w:t>RAN4</w:t>
      </w:r>
      <w:r w:rsidR="00E45E4A">
        <w:rPr>
          <w:color w:val="000000"/>
          <w:sz w:val="20"/>
          <w:szCs w:val="20"/>
        </w:rPr>
        <w:t xml:space="preserve"> spec,</w:t>
      </w:r>
      <w:r w:rsidRPr="0028112D">
        <w:rPr>
          <w:color w:val="000000"/>
          <w:sz w:val="20"/>
          <w:szCs w:val="20"/>
        </w:rPr>
        <w:t xml:space="preserve"> independent </w:t>
      </w:r>
      <w:r w:rsidR="00542052">
        <w:rPr>
          <w:color w:val="000000"/>
          <w:sz w:val="20"/>
          <w:szCs w:val="20"/>
        </w:rPr>
        <w:t>measurement gaps (</w:t>
      </w:r>
      <w:r w:rsidRPr="0028112D">
        <w:rPr>
          <w:color w:val="000000"/>
          <w:sz w:val="20"/>
          <w:szCs w:val="20"/>
        </w:rPr>
        <w:t>MG</w:t>
      </w:r>
      <w:r w:rsidR="00542052">
        <w:rPr>
          <w:color w:val="000000"/>
          <w:sz w:val="20"/>
          <w:szCs w:val="20"/>
        </w:rPr>
        <w:t>)</w:t>
      </w:r>
      <w:r w:rsidRPr="0028112D">
        <w:rPr>
          <w:color w:val="000000"/>
          <w:sz w:val="20"/>
          <w:szCs w:val="20"/>
        </w:rPr>
        <w:t xml:space="preserve"> w</w:t>
      </w:r>
      <w:r w:rsidR="00542052">
        <w:rPr>
          <w:color w:val="000000"/>
          <w:sz w:val="20"/>
          <w:szCs w:val="20"/>
        </w:rPr>
        <w:t>ere</w:t>
      </w:r>
      <w:r w:rsidRPr="0028112D">
        <w:rPr>
          <w:color w:val="000000"/>
          <w:sz w:val="20"/>
          <w:szCs w:val="20"/>
        </w:rPr>
        <w:t xml:space="preserve"> designed</w:t>
      </w:r>
      <w:r w:rsidR="00E45E4A">
        <w:rPr>
          <w:color w:val="000000"/>
          <w:sz w:val="20"/>
          <w:szCs w:val="20"/>
        </w:rPr>
        <w:t xml:space="preserve"> such that</w:t>
      </w:r>
      <w:r w:rsidRPr="0028112D">
        <w:rPr>
          <w:color w:val="000000"/>
          <w:sz w:val="20"/>
          <w:szCs w:val="20"/>
        </w:rPr>
        <w:t xml:space="preserve"> per-FR1 MG </w:t>
      </w:r>
      <w:r w:rsidR="00E45E4A">
        <w:rPr>
          <w:color w:val="000000"/>
          <w:sz w:val="20"/>
          <w:szCs w:val="20"/>
        </w:rPr>
        <w:t xml:space="preserve">and </w:t>
      </w:r>
      <w:r w:rsidRPr="0028112D">
        <w:rPr>
          <w:color w:val="000000"/>
          <w:sz w:val="20"/>
          <w:szCs w:val="20"/>
        </w:rPr>
        <w:t>per-FR2 MG</w:t>
      </w:r>
      <w:r w:rsidR="00E45E4A">
        <w:rPr>
          <w:color w:val="000000"/>
          <w:sz w:val="20"/>
          <w:szCs w:val="20"/>
        </w:rPr>
        <w:t xml:space="preserve"> can be configured </w:t>
      </w:r>
      <w:r w:rsidR="00542052">
        <w:rPr>
          <w:color w:val="000000"/>
          <w:sz w:val="20"/>
          <w:szCs w:val="20"/>
        </w:rPr>
        <w:t>separately</w:t>
      </w:r>
      <w:r w:rsidRPr="0028112D">
        <w:rPr>
          <w:color w:val="000000"/>
          <w:sz w:val="20"/>
          <w:szCs w:val="20"/>
        </w:rPr>
        <w:t xml:space="preserve">. The current FR2 MG patterns are listed as below (pattern 12~23). The </w:t>
      </w:r>
      <w:r w:rsidR="00542052">
        <w:rPr>
          <w:color w:val="000000"/>
          <w:sz w:val="20"/>
          <w:szCs w:val="20"/>
        </w:rPr>
        <w:t>Measurement Gap Length (</w:t>
      </w:r>
      <w:r w:rsidRPr="0028112D">
        <w:rPr>
          <w:color w:val="000000"/>
          <w:sz w:val="20"/>
          <w:szCs w:val="20"/>
        </w:rPr>
        <w:t>MGL</w:t>
      </w:r>
      <w:r w:rsidR="00542052">
        <w:rPr>
          <w:color w:val="000000"/>
          <w:sz w:val="20"/>
          <w:szCs w:val="20"/>
        </w:rPr>
        <w:t>)</w:t>
      </w:r>
      <w:r w:rsidRPr="0028112D">
        <w:rPr>
          <w:color w:val="000000"/>
          <w:sz w:val="20"/>
          <w:szCs w:val="20"/>
        </w:rPr>
        <w:t xml:space="preserve"> (1/3/5ms) for FR2 MG is based on the SSB duration under 120kHz and 240kHz, and the RF tuning margin is 250us for one way tuning in legacy FR2. However, if the SSB number is not increased in the SSB burst and the SCS is increased to 960kHz, the current FR2 MGL might be a big waste of the measurement resource. Furthermore, the RF tuning time with higher SCS might be even smaller than 250us, and therefore the per-FR MG for new 60GHz shall be redesigned and the old FR2 MG may not be applicable. It then would be necessary to have an individual FR concept to contain the new MG patterns. </w:t>
      </w:r>
    </w:p>
    <w:tbl>
      <w:tblPr>
        <w:tblStyle w:val="TableGrid"/>
        <w:tblW w:w="0" w:type="auto"/>
        <w:jc w:val="center"/>
        <w:tblLook w:val="04A0" w:firstRow="1" w:lastRow="0" w:firstColumn="1" w:lastColumn="0" w:noHBand="0" w:noVBand="1"/>
      </w:tblPr>
      <w:tblGrid>
        <w:gridCol w:w="5496"/>
      </w:tblGrid>
      <w:tr w:rsidR="005273BE" w14:paraId="47F76D53" w14:textId="77777777" w:rsidTr="00E44217">
        <w:trPr>
          <w:trHeight w:val="7066"/>
          <w:jc w:val="center"/>
        </w:trPr>
        <w:tc>
          <w:tcPr>
            <w:tcW w:w="5311" w:type="dxa"/>
          </w:tcPr>
          <w:p w14:paraId="24E03253" w14:textId="77777777" w:rsidR="005273BE"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55BC573D" wp14:editId="356B9FF8">
                  <wp:extent cx="3352556" cy="4468642"/>
                  <wp:effectExtent l="0" t="0" r="635" b="1905"/>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58227" cy="4476200"/>
                          </a:xfrm>
                          <a:prstGeom prst="rect">
                            <a:avLst/>
                          </a:prstGeom>
                        </pic:spPr>
                      </pic:pic>
                    </a:graphicData>
                  </a:graphic>
                </wp:inline>
              </w:drawing>
            </w:r>
          </w:p>
        </w:tc>
      </w:tr>
    </w:tbl>
    <w:p w14:paraId="31C85509" w14:textId="77777777" w:rsidR="005273BE" w:rsidRPr="0028112D" w:rsidRDefault="005273BE" w:rsidP="00E45E4A">
      <w:pPr>
        <w:pStyle w:val="ListParagraph"/>
        <w:autoSpaceDE w:val="0"/>
        <w:autoSpaceDN w:val="0"/>
        <w:adjustRightInd w:val="0"/>
        <w:ind w:left="360"/>
        <w:rPr>
          <w:color w:val="000000"/>
          <w:sz w:val="20"/>
          <w:szCs w:val="20"/>
        </w:rPr>
      </w:pPr>
    </w:p>
    <w:p w14:paraId="6D730D83" w14:textId="7D3BA3E4" w:rsidR="005273BE" w:rsidRPr="0028112D" w:rsidRDefault="005273BE" w:rsidP="00E45E4A">
      <w:pPr>
        <w:autoSpaceDE w:val="0"/>
        <w:autoSpaceDN w:val="0"/>
        <w:adjustRightInd w:val="0"/>
        <w:rPr>
          <w:color w:val="000000"/>
          <w:sz w:val="20"/>
          <w:szCs w:val="20"/>
        </w:rPr>
      </w:pPr>
      <w:r w:rsidRPr="0028112D">
        <w:rPr>
          <w:color w:val="000000"/>
          <w:sz w:val="20"/>
          <w:szCs w:val="20"/>
        </w:rPr>
        <w:t>Regarding the UE capability, so far per-FR MG capable UE would have different RF chain</w:t>
      </w:r>
      <w:r w:rsidR="00542052">
        <w:rPr>
          <w:color w:val="000000"/>
          <w:sz w:val="20"/>
          <w:szCs w:val="20"/>
        </w:rPr>
        <w:t>s</w:t>
      </w:r>
      <w:r w:rsidRPr="0028112D">
        <w:rPr>
          <w:color w:val="000000"/>
          <w:sz w:val="20"/>
          <w:szCs w:val="20"/>
        </w:rPr>
        <w:t xml:space="preserve"> between FR1 and FR2, which means those UEs would not have cross FR interruption or interference. In </w:t>
      </w:r>
      <w:r w:rsidR="00542052">
        <w:rPr>
          <w:color w:val="000000"/>
          <w:sz w:val="20"/>
          <w:szCs w:val="20"/>
        </w:rPr>
        <w:t xml:space="preserve">the </w:t>
      </w:r>
      <w:r w:rsidRPr="0028112D">
        <w:rPr>
          <w:color w:val="000000"/>
          <w:sz w:val="20"/>
          <w:szCs w:val="20"/>
        </w:rPr>
        <w:t>current RRM requirement, most of the RRM requirement</w:t>
      </w:r>
      <w:r w:rsidR="00542052">
        <w:rPr>
          <w:color w:val="000000"/>
          <w:sz w:val="20"/>
          <w:szCs w:val="20"/>
        </w:rPr>
        <w:t>s</w:t>
      </w:r>
      <w:r w:rsidRPr="0028112D">
        <w:rPr>
          <w:color w:val="000000"/>
          <w:sz w:val="20"/>
          <w:szCs w:val="20"/>
        </w:rPr>
        <w:t xml:space="preserve"> are related with this UE capability, e.g., interruption, multiple </w:t>
      </w:r>
      <w:proofErr w:type="spellStart"/>
      <w:r w:rsidRPr="0028112D">
        <w:rPr>
          <w:color w:val="000000"/>
          <w:sz w:val="20"/>
          <w:szCs w:val="20"/>
        </w:rPr>
        <w:t>SCell</w:t>
      </w:r>
      <w:proofErr w:type="spellEnd"/>
      <w:r w:rsidRPr="0028112D">
        <w:rPr>
          <w:color w:val="000000"/>
          <w:sz w:val="20"/>
          <w:szCs w:val="20"/>
        </w:rPr>
        <w:t xml:space="preserve"> activation, multiple BWP switching and etc. If </w:t>
      </w:r>
      <w:r w:rsidR="00542052">
        <w:rPr>
          <w:color w:val="000000"/>
          <w:sz w:val="20"/>
          <w:szCs w:val="20"/>
        </w:rPr>
        <w:t xml:space="preserve">the </w:t>
      </w:r>
      <w:r w:rsidRPr="0028112D">
        <w:rPr>
          <w:color w:val="000000"/>
          <w:sz w:val="20"/>
          <w:szCs w:val="20"/>
        </w:rPr>
        <w:t xml:space="preserve">new 60GHz </w:t>
      </w:r>
      <w:r w:rsidR="00726A73">
        <w:rPr>
          <w:color w:val="000000"/>
          <w:sz w:val="20"/>
          <w:szCs w:val="20"/>
        </w:rPr>
        <w:t>design</w:t>
      </w:r>
      <w:r w:rsidR="00542052">
        <w:rPr>
          <w:color w:val="000000"/>
          <w:sz w:val="20"/>
          <w:szCs w:val="20"/>
        </w:rPr>
        <w:t xml:space="preserve"> </w:t>
      </w:r>
      <w:r w:rsidRPr="0028112D">
        <w:rPr>
          <w:color w:val="000000"/>
          <w:sz w:val="20"/>
          <w:szCs w:val="20"/>
        </w:rPr>
        <w:t xml:space="preserve">has </w:t>
      </w:r>
      <w:r w:rsidR="00542052">
        <w:rPr>
          <w:color w:val="000000"/>
          <w:sz w:val="20"/>
          <w:szCs w:val="20"/>
        </w:rPr>
        <w:t xml:space="preserve">a </w:t>
      </w:r>
      <w:r w:rsidRPr="0028112D">
        <w:rPr>
          <w:color w:val="000000"/>
          <w:sz w:val="20"/>
          <w:szCs w:val="20"/>
        </w:rPr>
        <w:t xml:space="preserve">separated RF chain different </w:t>
      </w:r>
      <w:r w:rsidR="00542052">
        <w:rPr>
          <w:color w:val="000000"/>
          <w:sz w:val="20"/>
          <w:szCs w:val="20"/>
        </w:rPr>
        <w:t xml:space="preserve">from </w:t>
      </w:r>
      <w:proofErr w:type="gramStart"/>
      <w:r w:rsidR="00542052">
        <w:rPr>
          <w:color w:val="000000"/>
          <w:sz w:val="20"/>
          <w:szCs w:val="20"/>
        </w:rPr>
        <w:t xml:space="preserve">the </w:t>
      </w:r>
      <w:r w:rsidRPr="0028112D">
        <w:rPr>
          <w:color w:val="000000"/>
          <w:sz w:val="20"/>
          <w:szCs w:val="20"/>
        </w:rPr>
        <w:t xml:space="preserve"> legacy</w:t>
      </w:r>
      <w:proofErr w:type="gramEnd"/>
      <w:r w:rsidRPr="0028112D">
        <w:rPr>
          <w:color w:val="000000"/>
          <w:sz w:val="20"/>
          <w:szCs w:val="20"/>
        </w:rPr>
        <w:t xml:space="preserve"> FR2, it</w:t>
      </w:r>
      <w:r w:rsidR="00542052">
        <w:rPr>
          <w:color w:val="000000"/>
          <w:sz w:val="20"/>
          <w:szCs w:val="20"/>
        </w:rPr>
        <w:t xml:space="preserve"> i</w:t>
      </w:r>
      <w:r w:rsidRPr="0028112D">
        <w:rPr>
          <w:color w:val="000000"/>
          <w:sz w:val="20"/>
          <w:szCs w:val="20"/>
        </w:rPr>
        <w:t xml:space="preserve">s also natural to introduce </w:t>
      </w:r>
      <w:r w:rsidR="00E45E4A">
        <w:rPr>
          <w:color w:val="000000"/>
          <w:sz w:val="20"/>
          <w:szCs w:val="20"/>
        </w:rPr>
        <w:t xml:space="preserve">additional </w:t>
      </w:r>
      <w:r w:rsidRPr="0028112D">
        <w:rPr>
          <w:color w:val="000000"/>
          <w:sz w:val="20"/>
          <w:szCs w:val="20"/>
        </w:rPr>
        <w:t>per-FR3 capability to indicate the 60GHz serving CC would not be interrupted or interfered by the UE activities in FR1 and legacy FR2.</w:t>
      </w:r>
    </w:p>
    <w:p w14:paraId="71DA5339" w14:textId="77777777" w:rsidR="005273BE" w:rsidRPr="0028112D" w:rsidRDefault="005273BE" w:rsidP="005273BE">
      <w:pPr>
        <w:pStyle w:val="ListParagraph"/>
        <w:autoSpaceDE w:val="0"/>
        <w:autoSpaceDN w:val="0"/>
        <w:adjustRightInd w:val="0"/>
        <w:ind w:left="360"/>
        <w:jc w:val="both"/>
        <w:rPr>
          <w:color w:val="000000"/>
          <w:sz w:val="20"/>
          <w:szCs w:val="20"/>
        </w:rPr>
      </w:pPr>
    </w:p>
    <w:p w14:paraId="5FB79CA1" w14:textId="0D19C8D7" w:rsidR="005273BE" w:rsidRDefault="005273BE" w:rsidP="005273BE">
      <w:pPr>
        <w:pStyle w:val="ListParagraph"/>
        <w:numPr>
          <w:ilvl w:val="0"/>
          <w:numId w:val="14"/>
        </w:numPr>
        <w:autoSpaceDE w:val="0"/>
        <w:autoSpaceDN w:val="0"/>
        <w:adjustRightInd w:val="0"/>
        <w:jc w:val="both"/>
        <w:rPr>
          <w:b/>
          <w:bCs/>
          <w:color w:val="000000"/>
          <w:sz w:val="20"/>
          <w:szCs w:val="20"/>
        </w:rPr>
      </w:pPr>
      <w:r w:rsidRPr="00E45E4A">
        <w:rPr>
          <w:b/>
          <w:bCs/>
          <w:color w:val="000000"/>
          <w:sz w:val="20"/>
          <w:szCs w:val="20"/>
        </w:rPr>
        <w:t xml:space="preserve">Beam sweeping </w:t>
      </w:r>
      <w:r w:rsidR="007C4A4E">
        <w:rPr>
          <w:b/>
          <w:bCs/>
          <w:color w:val="000000"/>
          <w:sz w:val="20"/>
          <w:szCs w:val="20"/>
        </w:rPr>
        <w:t>based measurement</w:t>
      </w:r>
      <w:r w:rsidRPr="00E45E4A">
        <w:rPr>
          <w:b/>
          <w:bCs/>
          <w:color w:val="000000"/>
          <w:sz w:val="20"/>
          <w:szCs w:val="20"/>
        </w:rPr>
        <w:t xml:space="preserve"> delay requirements</w:t>
      </w:r>
    </w:p>
    <w:p w14:paraId="1A395897" w14:textId="77777777" w:rsidR="00E45E4A" w:rsidRPr="00E45E4A" w:rsidRDefault="00E45E4A" w:rsidP="00E45E4A">
      <w:pPr>
        <w:pStyle w:val="ListParagraph"/>
        <w:autoSpaceDE w:val="0"/>
        <w:autoSpaceDN w:val="0"/>
        <w:adjustRightInd w:val="0"/>
        <w:ind w:left="360"/>
        <w:rPr>
          <w:b/>
          <w:bCs/>
          <w:color w:val="000000"/>
          <w:sz w:val="20"/>
          <w:szCs w:val="20"/>
        </w:rPr>
      </w:pPr>
    </w:p>
    <w:p w14:paraId="2200AE1F" w14:textId="72720D73" w:rsidR="005273BE" w:rsidRDefault="005273BE" w:rsidP="00E45E4A">
      <w:pPr>
        <w:autoSpaceDE w:val="0"/>
        <w:autoSpaceDN w:val="0"/>
        <w:adjustRightInd w:val="0"/>
        <w:rPr>
          <w:color w:val="000000"/>
          <w:sz w:val="20"/>
          <w:szCs w:val="20"/>
        </w:rPr>
      </w:pPr>
      <w:r w:rsidRPr="0028112D">
        <w:rPr>
          <w:color w:val="000000"/>
          <w:sz w:val="20"/>
          <w:szCs w:val="20"/>
        </w:rPr>
        <w:lastRenderedPageBreak/>
        <w:t>In most of IDLE/CONNECTED</w:t>
      </w:r>
      <w:r w:rsidR="00E45E4A">
        <w:rPr>
          <w:color w:val="000000"/>
          <w:sz w:val="20"/>
          <w:szCs w:val="20"/>
        </w:rPr>
        <w:t xml:space="preserve"> measurement</w:t>
      </w:r>
      <w:r w:rsidRPr="0028112D">
        <w:rPr>
          <w:color w:val="000000"/>
          <w:sz w:val="20"/>
          <w:szCs w:val="20"/>
        </w:rPr>
        <w:t xml:space="preserve"> delay requirements of cell identification</w:t>
      </w:r>
      <w:r w:rsidR="00E45E4A">
        <w:rPr>
          <w:color w:val="000000"/>
          <w:sz w:val="20"/>
          <w:szCs w:val="20"/>
        </w:rPr>
        <w:t xml:space="preserve">, </w:t>
      </w:r>
      <w:r w:rsidRPr="0028112D">
        <w:rPr>
          <w:color w:val="000000"/>
          <w:sz w:val="20"/>
          <w:szCs w:val="20"/>
        </w:rPr>
        <w:t>measurement</w:t>
      </w:r>
      <w:r w:rsidR="00E45E4A">
        <w:rPr>
          <w:color w:val="000000"/>
          <w:sz w:val="20"/>
          <w:szCs w:val="20"/>
        </w:rPr>
        <w:t xml:space="preserve">, </w:t>
      </w:r>
      <w:r w:rsidRPr="0028112D">
        <w:rPr>
          <w:color w:val="000000"/>
          <w:sz w:val="20"/>
          <w:szCs w:val="20"/>
        </w:rPr>
        <w:t>handover</w:t>
      </w:r>
      <w:r w:rsidR="00E45E4A">
        <w:rPr>
          <w:color w:val="000000"/>
          <w:sz w:val="20"/>
          <w:szCs w:val="20"/>
        </w:rPr>
        <w:t xml:space="preserve">, </w:t>
      </w:r>
      <w:r w:rsidRPr="0028112D">
        <w:rPr>
          <w:color w:val="000000"/>
          <w:sz w:val="20"/>
          <w:szCs w:val="20"/>
        </w:rPr>
        <w:t>RLM</w:t>
      </w:r>
      <w:r w:rsidR="00E45E4A">
        <w:rPr>
          <w:color w:val="000000"/>
          <w:sz w:val="20"/>
          <w:szCs w:val="20"/>
        </w:rPr>
        <w:t xml:space="preserve">, </w:t>
      </w:r>
      <w:r w:rsidRPr="0028112D">
        <w:rPr>
          <w:color w:val="000000"/>
          <w:sz w:val="20"/>
          <w:szCs w:val="20"/>
        </w:rPr>
        <w:t>beam-management</w:t>
      </w:r>
      <w:r w:rsidR="00E45E4A">
        <w:rPr>
          <w:color w:val="000000"/>
          <w:sz w:val="20"/>
          <w:szCs w:val="20"/>
        </w:rPr>
        <w:t xml:space="preserve">, </w:t>
      </w:r>
      <w:r w:rsidRPr="0028112D">
        <w:rPr>
          <w:color w:val="000000"/>
          <w:sz w:val="20"/>
          <w:szCs w:val="20"/>
        </w:rPr>
        <w:t>re-</w:t>
      </w:r>
      <w:r w:rsidR="00E45E4A" w:rsidRPr="0028112D">
        <w:rPr>
          <w:color w:val="000000"/>
          <w:sz w:val="20"/>
          <w:szCs w:val="20"/>
        </w:rPr>
        <w:t>establishment</w:t>
      </w:r>
      <w:r w:rsidR="00E45E4A">
        <w:rPr>
          <w:color w:val="000000"/>
          <w:sz w:val="20"/>
          <w:szCs w:val="20"/>
        </w:rPr>
        <w:t xml:space="preserve"> and </w:t>
      </w:r>
      <w:r w:rsidRPr="0028112D">
        <w:rPr>
          <w:color w:val="000000"/>
          <w:sz w:val="20"/>
          <w:szCs w:val="20"/>
        </w:rPr>
        <w:t xml:space="preserve">redirection, the beam sweeping scaling factor is designed as 8 for FR2 (band agnostic), and some examples are shown as below.  However, if the narrower beam is used for </w:t>
      </w:r>
      <w:r w:rsidR="00542052">
        <w:rPr>
          <w:color w:val="000000"/>
          <w:sz w:val="20"/>
          <w:szCs w:val="20"/>
        </w:rPr>
        <w:t xml:space="preserve">the </w:t>
      </w:r>
      <w:r w:rsidRPr="0028112D">
        <w:rPr>
          <w:color w:val="000000"/>
          <w:sz w:val="20"/>
          <w:szCs w:val="20"/>
        </w:rPr>
        <w:t>new 60GHz scenario</w:t>
      </w:r>
      <w:r w:rsidR="00542052">
        <w:rPr>
          <w:color w:val="000000"/>
          <w:sz w:val="20"/>
          <w:szCs w:val="20"/>
        </w:rPr>
        <w:t>,</w:t>
      </w:r>
      <w:r w:rsidRPr="0028112D">
        <w:rPr>
          <w:color w:val="000000"/>
          <w:sz w:val="20"/>
          <w:szCs w:val="20"/>
        </w:rPr>
        <w:t xml:space="preserve"> the scaling factor may need </w:t>
      </w:r>
      <w:r w:rsidR="00E45E4A">
        <w:rPr>
          <w:color w:val="000000"/>
          <w:sz w:val="20"/>
          <w:szCs w:val="20"/>
        </w:rPr>
        <w:t>to be revisited</w:t>
      </w:r>
      <w:r w:rsidRPr="0028112D">
        <w:rPr>
          <w:color w:val="000000"/>
          <w:sz w:val="20"/>
          <w:szCs w:val="20"/>
        </w:rPr>
        <w:t xml:space="preserve"> (the beam sweeping number might be larger than 8)</w:t>
      </w:r>
      <w:r w:rsidR="00E45E4A">
        <w:rPr>
          <w:color w:val="000000"/>
          <w:sz w:val="20"/>
          <w:szCs w:val="20"/>
        </w:rPr>
        <w:t>. As a result, many of</w:t>
      </w:r>
      <w:r w:rsidRPr="0028112D">
        <w:rPr>
          <w:color w:val="000000"/>
          <w:sz w:val="20"/>
          <w:szCs w:val="20"/>
        </w:rPr>
        <w:t xml:space="preserve"> current FR2</w:t>
      </w:r>
      <w:r w:rsidR="00E45E4A">
        <w:rPr>
          <w:color w:val="000000"/>
          <w:sz w:val="20"/>
          <w:szCs w:val="20"/>
        </w:rPr>
        <w:t xml:space="preserve"> band agnostic requirements</w:t>
      </w:r>
      <w:r w:rsidRPr="0028112D">
        <w:rPr>
          <w:color w:val="000000"/>
          <w:sz w:val="20"/>
          <w:szCs w:val="20"/>
        </w:rPr>
        <w:t xml:space="preserve"> </w:t>
      </w:r>
      <w:r w:rsidR="00542052">
        <w:rPr>
          <w:color w:val="000000"/>
          <w:sz w:val="20"/>
          <w:szCs w:val="20"/>
        </w:rPr>
        <w:t>will</w:t>
      </w:r>
      <w:r w:rsidR="00542052" w:rsidRPr="0028112D">
        <w:rPr>
          <w:color w:val="000000"/>
          <w:sz w:val="20"/>
          <w:szCs w:val="20"/>
        </w:rPr>
        <w:t xml:space="preserve"> </w:t>
      </w:r>
      <w:r w:rsidR="00E45E4A">
        <w:rPr>
          <w:color w:val="000000"/>
          <w:sz w:val="20"/>
          <w:szCs w:val="20"/>
        </w:rPr>
        <w:t xml:space="preserve">not </w:t>
      </w:r>
      <w:r w:rsidR="00542052">
        <w:rPr>
          <w:color w:val="000000"/>
          <w:sz w:val="20"/>
          <w:szCs w:val="20"/>
        </w:rPr>
        <w:t xml:space="preserve">be </w:t>
      </w:r>
      <w:r w:rsidR="00E45E4A">
        <w:rPr>
          <w:color w:val="000000"/>
          <w:sz w:val="20"/>
          <w:szCs w:val="20"/>
        </w:rPr>
        <w:t>applicable to</w:t>
      </w:r>
      <w:r w:rsidRPr="0028112D">
        <w:rPr>
          <w:color w:val="000000"/>
          <w:sz w:val="20"/>
          <w:szCs w:val="20"/>
        </w:rPr>
        <w:t xml:space="preserve"> 60GHz if</w:t>
      </w:r>
      <w:r w:rsidR="009A758A">
        <w:rPr>
          <w:color w:val="000000"/>
          <w:sz w:val="20"/>
          <w:szCs w:val="20"/>
        </w:rPr>
        <w:t xml:space="preserve"> </w:t>
      </w:r>
      <w:r w:rsidRPr="0028112D">
        <w:rPr>
          <w:color w:val="000000"/>
          <w:sz w:val="20"/>
          <w:szCs w:val="20"/>
        </w:rPr>
        <w:t xml:space="preserve">FR2 </w:t>
      </w:r>
      <w:r w:rsidR="009A758A">
        <w:rPr>
          <w:color w:val="000000"/>
          <w:sz w:val="20"/>
          <w:szCs w:val="20"/>
        </w:rPr>
        <w:t>is extended to cover</w:t>
      </w:r>
      <w:r w:rsidRPr="0028112D">
        <w:rPr>
          <w:color w:val="000000"/>
          <w:sz w:val="20"/>
          <w:szCs w:val="20"/>
        </w:rPr>
        <w:t xml:space="preserve"> 60GHz.</w:t>
      </w:r>
    </w:p>
    <w:p w14:paraId="6BB208D4" w14:textId="77777777" w:rsidR="00542052" w:rsidRPr="0028112D" w:rsidRDefault="00542052" w:rsidP="00E45E4A">
      <w:pPr>
        <w:autoSpaceDE w:val="0"/>
        <w:autoSpaceDN w:val="0"/>
        <w:adjustRightInd w:val="0"/>
        <w:rPr>
          <w:color w:val="000000"/>
          <w:sz w:val="20"/>
          <w:szCs w:val="20"/>
        </w:rPr>
      </w:pPr>
    </w:p>
    <w:tbl>
      <w:tblPr>
        <w:tblStyle w:val="TableGrid"/>
        <w:tblW w:w="9709" w:type="dxa"/>
        <w:tblInd w:w="360" w:type="dxa"/>
        <w:tblLook w:val="04A0" w:firstRow="1" w:lastRow="0" w:firstColumn="1" w:lastColumn="0" w:noHBand="0" w:noVBand="1"/>
      </w:tblPr>
      <w:tblGrid>
        <w:gridCol w:w="9709"/>
      </w:tblGrid>
      <w:tr w:rsidR="005273BE" w:rsidRPr="0028112D" w14:paraId="605EB054" w14:textId="77777777" w:rsidTr="00E44217">
        <w:trPr>
          <w:trHeight w:val="2993"/>
        </w:trPr>
        <w:tc>
          <w:tcPr>
            <w:tcW w:w="9709" w:type="dxa"/>
          </w:tcPr>
          <w:p w14:paraId="0F24A8BE"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t>IDLE mode cell detection requirement</w:t>
            </w:r>
          </w:p>
          <w:p w14:paraId="0C6A2D76"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7CE4BAA4" wp14:editId="6DD925B4">
                  <wp:extent cx="5943600" cy="2026285"/>
                  <wp:effectExtent l="0" t="0" r="0" b="571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026285"/>
                          </a:xfrm>
                          <a:prstGeom prst="rect">
                            <a:avLst/>
                          </a:prstGeom>
                        </pic:spPr>
                      </pic:pic>
                    </a:graphicData>
                  </a:graphic>
                </wp:inline>
              </w:drawing>
            </w:r>
          </w:p>
        </w:tc>
      </w:tr>
      <w:tr w:rsidR="005273BE" w:rsidRPr="0028112D" w14:paraId="5F199683" w14:textId="77777777" w:rsidTr="00E44217">
        <w:trPr>
          <w:trHeight w:val="2993"/>
        </w:trPr>
        <w:tc>
          <w:tcPr>
            <w:tcW w:w="9709" w:type="dxa"/>
          </w:tcPr>
          <w:p w14:paraId="2B9F63A7"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t>RLM evaluation requirement</w:t>
            </w:r>
          </w:p>
          <w:p w14:paraId="1CBECF0B"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3E885B9C" wp14:editId="102F34D5">
                  <wp:extent cx="5943600" cy="1841500"/>
                  <wp:effectExtent l="0" t="0" r="0" b="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841500"/>
                          </a:xfrm>
                          <a:prstGeom prst="rect">
                            <a:avLst/>
                          </a:prstGeom>
                        </pic:spPr>
                      </pic:pic>
                    </a:graphicData>
                  </a:graphic>
                </wp:inline>
              </w:drawing>
            </w:r>
          </w:p>
        </w:tc>
      </w:tr>
    </w:tbl>
    <w:p w14:paraId="73AFFE4C" w14:textId="77777777" w:rsidR="005273BE" w:rsidRPr="0028112D" w:rsidRDefault="005273BE" w:rsidP="005273BE">
      <w:pPr>
        <w:pStyle w:val="ListParagraph"/>
        <w:autoSpaceDE w:val="0"/>
        <w:autoSpaceDN w:val="0"/>
        <w:adjustRightInd w:val="0"/>
        <w:ind w:left="360"/>
        <w:jc w:val="both"/>
        <w:rPr>
          <w:color w:val="000000"/>
          <w:sz w:val="20"/>
          <w:szCs w:val="20"/>
        </w:rPr>
      </w:pPr>
    </w:p>
    <w:p w14:paraId="41BB9A3A" w14:textId="47BA6F9C" w:rsidR="005273BE" w:rsidRDefault="005273BE" w:rsidP="005273BE">
      <w:pPr>
        <w:pStyle w:val="ListParagraph"/>
        <w:numPr>
          <w:ilvl w:val="0"/>
          <w:numId w:val="14"/>
        </w:numPr>
        <w:autoSpaceDE w:val="0"/>
        <w:autoSpaceDN w:val="0"/>
        <w:adjustRightInd w:val="0"/>
        <w:jc w:val="both"/>
        <w:rPr>
          <w:b/>
          <w:bCs/>
          <w:color w:val="000000"/>
          <w:sz w:val="20"/>
          <w:szCs w:val="20"/>
        </w:rPr>
      </w:pPr>
      <w:r w:rsidRPr="007C4A4E">
        <w:rPr>
          <w:b/>
          <w:bCs/>
          <w:color w:val="000000"/>
          <w:sz w:val="20"/>
          <w:szCs w:val="20"/>
        </w:rPr>
        <w:t xml:space="preserve">Accuracy requirement </w:t>
      </w:r>
    </w:p>
    <w:p w14:paraId="56589959" w14:textId="77777777" w:rsidR="007C4A4E" w:rsidRPr="007C4A4E" w:rsidRDefault="007C4A4E" w:rsidP="007C4A4E">
      <w:pPr>
        <w:pStyle w:val="ListParagraph"/>
        <w:autoSpaceDE w:val="0"/>
        <w:autoSpaceDN w:val="0"/>
        <w:adjustRightInd w:val="0"/>
        <w:ind w:left="360"/>
        <w:jc w:val="both"/>
        <w:rPr>
          <w:b/>
          <w:bCs/>
          <w:color w:val="000000"/>
          <w:sz w:val="20"/>
          <w:szCs w:val="20"/>
        </w:rPr>
      </w:pPr>
    </w:p>
    <w:p w14:paraId="55187D35" w14:textId="1C7ADBCE" w:rsidR="005273BE" w:rsidRDefault="005273BE" w:rsidP="005273BE">
      <w:pPr>
        <w:autoSpaceDE w:val="0"/>
        <w:autoSpaceDN w:val="0"/>
        <w:adjustRightInd w:val="0"/>
        <w:jc w:val="both"/>
        <w:rPr>
          <w:color w:val="000000"/>
          <w:sz w:val="20"/>
          <w:szCs w:val="20"/>
        </w:rPr>
      </w:pPr>
      <w:r w:rsidRPr="0028112D">
        <w:rPr>
          <w:color w:val="000000"/>
          <w:sz w:val="20"/>
          <w:szCs w:val="20"/>
        </w:rPr>
        <w:t>In the current RSRP/RSRQ/SINR accuracy requirement</w:t>
      </w:r>
      <w:r w:rsidR="007C4A4E">
        <w:rPr>
          <w:color w:val="000000"/>
          <w:sz w:val="20"/>
          <w:szCs w:val="20"/>
        </w:rPr>
        <w:t>s</w:t>
      </w:r>
      <w:r w:rsidRPr="0028112D">
        <w:rPr>
          <w:color w:val="000000"/>
          <w:sz w:val="20"/>
          <w:szCs w:val="20"/>
        </w:rPr>
        <w:t xml:space="preserve">, </w:t>
      </w:r>
      <w:r w:rsidR="00542052">
        <w:rPr>
          <w:color w:val="000000"/>
          <w:sz w:val="20"/>
          <w:szCs w:val="20"/>
        </w:rPr>
        <w:t xml:space="preserve">the </w:t>
      </w:r>
      <w:r w:rsidRPr="0028112D">
        <w:rPr>
          <w:color w:val="000000"/>
          <w:sz w:val="20"/>
          <w:szCs w:val="20"/>
        </w:rPr>
        <w:t>RF calibration margin</w:t>
      </w:r>
      <w:r w:rsidR="007C4A4E">
        <w:rPr>
          <w:color w:val="000000"/>
          <w:sz w:val="20"/>
          <w:szCs w:val="20"/>
        </w:rPr>
        <w:t xml:space="preserve"> is band agnostic in FR2. It</w:t>
      </w:r>
      <w:r w:rsidRPr="0028112D">
        <w:rPr>
          <w:color w:val="000000"/>
          <w:sz w:val="20"/>
          <w:szCs w:val="20"/>
        </w:rPr>
        <w:t xml:space="preserve"> has been taken into account in </w:t>
      </w:r>
      <w:r w:rsidR="007C4A4E">
        <w:rPr>
          <w:color w:val="000000"/>
          <w:sz w:val="20"/>
          <w:szCs w:val="20"/>
        </w:rPr>
        <w:t>almost all measurement accuracy requirements.</w:t>
      </w:r>
      <w:r w:rsidRPr="0028112D">
        <w:rPr>
          <w:color w:val="000000"/>
          <w:sz w:val="20"/>
          <w:szCs w:val="20"/>
        </w:rPr>
        <w:t xml:space="preserve"> RF calibration margin </w:t>
      </w:r>
      <w:r w:rsidR="007C4A4E">
        <w:rPr>
          <w:color w:val="000000"/>
          <w:sz w:val="20"/>
          <w:szCs w:val="20"/>
        </w:rPr>
        <w:t>is specified based on certain assumption</w:t>
      </w:r>
      <w:r w:rsidR="00542052">
        <w:rPr>
          <w:color w:val="000000"/>
          <w:sz w:val="20"/>
          <w:szCs w:val="20"/>
        </w:rPr>
        <w:t>s</w:t>
      </w:r>
      <w:r w:rsidR="007C4A4E">
        <w:rPr>
          <w:color w:val="000000"/>
          <w:sz w:val="20"/>
          <w:szCs w:val="20"/>
        </w:rPr>
        <w:t xml:space="preserve"> of</w:t>
      </w:r>
      <w:r w:rsidRPr="0028112D">
        <w:rPr>
          <w:color w:val="000000"/>
          <w:sz w:val="20"/>
          <w:szCs w:val="20"/>
        </w:rPr>
        <w:t xml:space="preserve"> the RF antenna array</w:t>
      </w:r>
      <w:r w:rsidR="007C4A4E">
        <w:rPr>
          <w:color w:val="000000"/>
          <w:sz w:val="20"/>
          <w:szCs w:val="20"/>
        </w:rPr>
        <w:t xml:space="preserve"> size and </w:t>
      </w:r>
      <w:r w:rsidRPr="0028112D">
        <w:rPr>
          <w:color w:val="000000"/>
          <w:sz w:val="20"/>
          <w:szCs w:val="20"/>
        </w:rPr>
        <w:t xml:space="preserve">number. </w:t>
      </w:r>
      <w:r w:rsidR="007C4A4E">
        <w:rPr>
          <w:color w:val="000000"/>
          <w:sz w:val="20"/>
          <w:szCs w:val="20"/>
        </w:rPr>
        <w:t>It is uncerta</w:t>
      </w:r>
      <w:r w:rsidR="00542052">
        <w:rPr>
          <w:color w:val="000000"/>
          <w:sz w:val="20"/>
          <w:szCs w:val="20"/>
        </w:rPr>
        <w:t>in</w:t>
      </w:r>
      <w:r w:rsidR="007C4A4E">
        <w:rPr>
          <w:color w:val="000000"/>
          <w:sz w:val="20"/>
          <w:szCs w:val="20"/>
        </w:rPr>
        <w:t xml:space="preserve"> if such </w:t>
      </w:r>
      <w:r w:rsidR="00542052">
        <w:rPr>
          <w:color w:val="000000"/>
          <w:sz w:val="20"/>
          <w:szCs w:val="20"/>
        </w:rPr>
        <w:t xml:space="preserve">an </w:t>
      </w:r>
      <w:r w:rsidR="007C4A4E">
        <w:rPr>
          <w:color w:val="000000"/>
          <w:sz w:val="20"/>
          <w:szCs w:val="20"/>
        </w:rPr>
        <w:t>assumption and calibration margin can be extended to 60GHz</w:t>
      </w:r>
      <w:r w:rsidR="00542052">
        <w:rPr>
          <w:color w:val="000000"/>
          <w:sz w:val="20"/>
          <w:szCs w:val="20"/>
        </w:rPr>
        <w:t xml:space="preserve"> especially with the possibility of smaller array sizes or increased number of arrays with the reduction in wavelength compared with FR2</w:t>
      </w:r>
      <w:r w:rsidR="007C4A4E">
        <w:rPr>
          <w:color w:val="000000"/>
          <w:sz w:val="20"/>
          <w:szCs w:val="20"/>
        </w:rPr>
        <w:t xml:space="preserve">. If not, the band agnostic FR2 accuracy requirements </w:t>
      </w:r>
      <w:r w:rsidRPr="0028112D">
        <w:rPr>
          <w:color w:val="000000"/>
          <w:sz w:val="20"/>
          <w:szCs w:val="20"/>
        </w:rPr>
        <w:t>cannot be applied for this 60GHz measurement. Moreover, in IDLE mode</w:t>
      </w:r>
      <w:r w:rsidR="00542052">
        <w:rPr>
          <w:color w:val="000000"/>
          <w:sz w:val="20"/>
          <w:szCs w:val="20"/>
        </w:rPr>
        <w:t>,</w:t>
      </w:r>
      <w:r w:rsidRPr="0028112D">
        <w:rPr>
          <w:color w:val="000000"/>
          <w:sz w:val="20"/>
          <w:szCs w:val="20"/>
        </w:rPr>
        <w:t xml:space="preserve"> the re-selection rank is specified based on measurement accuracy and also on a per-FR </w:t>
      </w:r>
      <w:proofErr w:type="gramStart"/>
      <w:r w:rsidRPr="0028112D">
        <w:rPr>
          <w:color w:val="000000"/>
          <w:sz w:val="20"/>
          <w:szCs w:val="20"/>
        </w:rPr>
        <w:t>basis(</w:t>
      </w:r>
      <w:proofErr w:type="gramEnd"/>
      <w:r w:rsidRPr="0028112D">
        <w:rPr>
          <w:color w:val="000000"/>
          <w:sz w:val="20"/>
          <w:szCs w:val="20"/>
        </w:rPr>
        <w:t xml:space="preserve">shown as below), and similar as accuracy requirement, the existing ranking requirement cannot be applied for cell reselection on 60GHz. </w:t>
      </w:r>
    </w:p>
    <w:p w14:paraId="32392A67" w14:textId="77777777" w:rsidR="007C4A4E" w:rsidRPr="0028112D" w:rsidRDefault="007C4A4E" w:rsidP="005273BE">
      <w:pPr>
        <w:autoSpaceDE w:val="0"/>
        <w:autoSpaceDN w:val="0"/>
        <w:adjustRightInd w:val="0"/>
        <w:jc w:val="both"/>
        <w:rPr>
          <w:color w:val="000000"/>
          <w:sz w:val="20"/>
          <w:szCs w:val="20"/>
        </w:rPr>
      </w:pPr>
    </w:p>
    <w:tbl>
      <w:tblPr>
        <w:tblStyle w:val="TableGrid"/>
        <w:tblW w:w="9709" w:type="dxa"/>
        <w:tblInd w:w="360" w:type="dxa"/>
        <w:tblLook w:val="04A0" w:firstRow="1" w:lastRow="0" w:firstColumn="1" w:lastColumn="0" w:noHBand="0" w:noVBand="1"/>
      </w:tblPr>
      <w:tblGrid>
        <w:gridCol w:w="9709"/>
      </w:tblGrid>
      <w:tr w:rsidR="005273BE" w:rsidRPr="0028112D" w14:paraId="32374C61" w14:textId="77777777" w:rsidTr="00E44217">
        <w:trPr>
          <w:trHeight w:val="2993"/>
        </w:trPr>
        <w:tc>
          <w:tcPr>
            <w:tcW w:w="9709" w:type="dxa"/>
          </w:tcPr>
          <w:p w14:paraId="278847CD"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lastRenderedPageBreak/>
              <w:t>IDLE mode cell reselection rank requirement</w:t>
            </w:r>
            <w:r w:rsidRPr="0028112D">
              <w:rPr>
                <w:noProof/>
                <w:color w:val="000000"/>
                <w:sz w:val="20"/>
                <w:szCs w:val="20"/>
              </w:rPr>
              <w:drawing>
                <wp:inline distT="0" distB="0" distL="0" distR="0" wp14:anchorId="7E0A9BF4" wp14:editId="780DD1E7">
                  <wp:extent cx="5873261" cy="3481288"/>
                  <wp:effectExtent l="0" t="0" r="0" b="0"/>
                  <wp:docPr id="7"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email&#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4955" cy="3482292"/>
                          </a:xfrm>
                          <a:prstGeom prst="rect">
                            <a:avLst/>
                          </a:prstGeom>
                        </pic:spPr>
                      </pic:pic>
                    </a:graphicData>
                  </a:graphic>
                </wp:inline>
              </w:drawing>
            </w:r>
          </w:p>
        </w:tc>
      </w:tr>
    </w:tbl>
    <w:p w14:paraId="0E79F4F7" w14:textId="77777777" w:rsidR="005273BE" w:rsidRPr="0028112D" w:rsidRDefault="005273BE" w:rsidP="005273BE">
      <w:pPr>
        <w:pStyle w:val="ListParagraph"/>
        <w:autoSpaceDE w:val="0"/>
        <w:autoSpaceDN w:val="0"/>
        <w:adjustRightInd w:val="0"/>
        <w:ind w:left="360"/>
        <w:jc w:val="both"/>
        <w:rPr>
          <w:color w:val="000000"/>
          <w:sz w:val="20"/>
          <w:szCs w:val="20"/>
        </w:rPr>
      </w:pPr>
    </w:p>
    <w:p w14:paraId="77B76565" w14:textId="75D0743D" w:rsidR="005273BE" w:rsidRDefault="005273BE" w:rsidP="005273BE">
      <w:pPr>
        <w:pStyle w:val="ListParagraph"/>
        <w:numPr>
          <w:ilvl w:val="0"/>
          <w:numId w:val="14"/>
        </w:numPr>
        <w:autoSpaceDE w:val="0"/>
        <w:autoSpaceDN w:val="0"/>
        <w:adjustRightInd w:val="0"/>
        <w:jc w:val="both"/>
        <w:rPr>
          <w:b/>
          <w:bCs/>
          <w:color w:val="000000"/>
          <w:sz w:val="20"/>
          <w:szCs w:val="20"/>
        </w:rPr>
      </w:pPr>
      <w:r w:rsidRPr="007C4A4E">
        <w:rPr>
          <w:b/>
          <w:bCs/>
          <w:color w:val="000000"/>
          <w:sz w:val="20"/>
          <w:szCs w:val="20"/>
        </w:rPr>
        <w:t xml:space="preserve">Timing requirement </w:t>
      </w:r>
    </w:p>
    <w:p w14:paraId="5908430B" w14:textId="77777777" w:rsidR="007C4A4E" w:rsidRPr="007C4A4E" w:rsidRDefault="007C4A4E" w:rsidP="007C4A4E">
      <w:pPr>
        <w:autoSpaceDE w:val="0"/>
        <w:autoSpaceDN w:val="0"/>
        <w:adjustRightInd w:val="0"/>
        <w:jc w:val="both"/>
        <w:rPr>
          <w:b/>
          <w:bCs/>
          <w:color w:val="000000"/>
          <w:sz w:val="20"/>
          <w:szCs w:val="20"/>
        </w:rPr>
      </w:pPr>
    </w:p>
    <w:p w14:paraId="51B9C056" w14:textId="60AAFE4F" w:rsidR="005273BE"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726A73">
        <w:rPr>
          <w:color w:val="000000"/>
          <w:sz w:val="20"/>
          <w:szCs w:val="20"/>
        </w:rPr>
        <w:t xml:space="preserve">the </w:t>
      </w:r>
      <w:r w:rsidRPr="0028112D">
        <w:rPr>
          <w:color w:val="000000"/>
          <w:sz w:val="20"/>
          <w:szCs w:val="20"/>
        </w:rPr>
        <w:t>current RAN4 timing requirement, e.g., MRTD/MTTD or SFTD measurement, FR specific requirement</w:t>
      </w:r>
      <w:r w:rsidR="007C4A4E">
        <w:rPr>
          <w:color w:val="000000"/>
          <w:sz w:val="20"/>
          <w:szCs w:val="20"/>
        </w:rPr>
        <w:t>s are defined</w:t>
      </w:r>
      <w:r w:rsidRPr="0028112D">
        <w:rPr>
          <w:color w:val="000000"/>
          <w:sz w:val="20"/>
          <w:szCs w:val="20"/>
        </w:rPr>
        <w:t xml:space="preserve"> to reflect the different scenarios. For instance, in inter-band NR CA MRTD requirement (shown as below), the FR2 MRTD is define based on</w:t>
      </w:r>
      <w:r w:rsidR="00726A73">
        <w:rPr>
          <w:color w:val="000000"/>
          <w:sz w:val="20"/>
          <w:szCs w:val="20"/>
        </w:rPr>
        <w:t xml:space="preserve"> the</w:t>
      </w:r>
      <w:r w:rsidRPr="0028112D">
        <w:rPr>
          <w:color w:val="000000"/>
          <w:sz w:val="20"/>
          <w:szCs w:val="20"/>
        </w:rPr>
        <w:t xml:space="preserve"> propagation delay difference between CCs and TAE. However, in </w:t>
      </w:r>
      <w:r w:rsidR="00726A73">
        <w:rPr>
          <w:color w:val="000000"/>
          <w:sz w:val="20"/>
          <w:szCs w:val="20"/>
        </w:rPr>
        <w:t xml:space="preserve">the </w:t>
      </w:r>
      <w:r w:rsidRPr="0028112D">
        <w:rPr>
          <w:color w:val="000000"/>
          <w:sz w:val="20"/>
          <w:szCs w:val="20"/>
        </w:rPr>
        <w:t>new 60GHz deployment, the cell coverage of such high spectrum would naturally shrink compared with the legacy FR2 deployment, and therefore the existing propagation delay difference shall be revised accordingly and the existing FR2 requirement cannot be used for new 60GHz case. On the other hand, in this 60GHz case, the legacy FR2 TAE in inter-band CA (3us) is much larger than 1 symbols length with SCS=960kHz, and RAN4 also needs to consider if</w:t>
      </w:r>
      <w:r w:rsidR="00726A73">
        <w:rPr>
          <w:color w:val="000000"/>
          <w:sz w:val="20"/>
          <w:szCs w:val="20"/>
        </w:rPr>
        <w:t xml:space="preserve"> a</w:t>
      </w:r>
      <w:r w:rsidRPr="0028112D">
        <w:rPr>
          <w:color w:val="000000"/>
          <w:sz w:val="20"/>
          <w:szCs w:val="20"/>
        </w:rPr>
        <w:t xml:space="preserve"> new FR shall be used for </w:t>
      </w:r>
      <w:r w:rsidR="00726A73">
        <w:rPr>
          <w:color w:val="000000"/>
          <w:sz w:val="20"/>
          <w:szCs w:val="20"/>
        </w:rPr>
        <w:t xml:space="preserve">the </w:t>
      </w:r>
      <w:r w:rsidRPr="0028112D">
        <w:rPr>
          <w:color w:val="000000"/>
          <w:sz w:val="20"/>
          <w:szCs w:val="20"/>
        </w:rPr>
        <w:t>TAE requirement.</w:t>
      </w:r>
    </w:p>
    <w:p w14:paraId="5E148BC4" w14:textId="77777777" w:rsidR="005273BE" w:rsidRPr="0028112D" w:rsidRDefault="005273BE" w:rsidP="005273BE">
      <w:pPr>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7DD755EE" w14:textId="77777777" w:rsidTr="00E44217">
        <w:tc>
          <w:tcPr>
            <w:tcW w:w="9350" w:type="dxa"/>
          </w:tcPr>
          <w:p w14:paraId="5542C6F4"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453A8B45" wp14:editId="71FDB5BF">
                  <wp:extent cx="5943600" cy="1446530"/>
                  <wp:effectExtent l="0" t="0" r="0" b="127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446530"/>
                          </a:xfrm>
                          <a:prstGeom prst="rect">
                            <a:avLst/>
                          </a:prstGeom>
                        </pic:spPr>
                      </pic:pic>
                    </a:graphicData>
                  </a:graphic>
                </wp:inline>
              </w:drawing>
            </w:r>
          </w:p>
        </w:tc>
      </w:tr>
    </w:tbl>
    <w:p w14:paraId="49087CC1" w14:textId="77777777" w:rsidR="005273BE" w:rsidRPr="0028112D" w:rsidRDefault="005273BE" w:rsidP="005273BE">
      <w:pPr>
        <w:autoSpaceDE w:val="0"/>
        <w:autoSpaceDN w:val="0"/>
        <w:adjustRightInd w:val="0"/>
        <w:jc w:val="both"/>
        <w:rPr>
          <w:color w:val="000000"/>
          <w:sz w:val="20"/>
          <w:szCs w:val="20"/>
        </w:rPr>
      </w:pPr>
    </w:p>
    <w:p w14:paraId="65A6C42A" w14:textId="6E625471" w:rsidR="005273BE" w:rsidRDefault="005273BE" w:rsidP="005273BE">
      <w:pPr>
        <w:tabs>
          <w:tab w:val="left" w:pos="20"/>
          <w:tab w:val="left" w:pos="360"/>
        </w:tabs>
        <w:autoSpaceDE w:val="0"/>
        <w:autoSpaceDN w:val="0"/>
        <w:adjustRightInd w:val="0"/>
        <w:jc w:val="both"/>
        <w:rPr>
          <w:color w:val="000000"/>
          <w:sz w:val="20"/>
          <w:szCs w:val="20"/>
        </w:rPr>
      </w:pPr>
      <w:r w:rsidRPr="0028112D">
        <w:rPr>
          <w:color w:val="000000"/>
          <w:sz w:val="20"/>
          <w:szCs w:val="20"/>
        </w:rPr>
        <w:t xml:space="preserve">The SFTD requirement in </w:t>
      </w:r>
      <w:r w:rsidR="00726A73">
        <w:rPr>
          <w:color w:val="000000"/>
          <w:sz w:val="20"/>
          <w:szCs w:val="20"/>
        </w:rPr>
        <w:t xml:space="preserve">the </w:t>
      </w:r>
      <w:r w:rsidRPr="0028112D">
        <w:rPr>
          <w:color w:val="000000"/>
          <w:sz w:val="20"/>
          <w:szCs w:val="20"/>
        </w:rPr>
        <w:t>current RRM spec is defined as 40Ts (1.3us) for FR1 and FR2 (inter-frequency SFTD requirement is shown as below), and the justification is: 40Ts is almost below 15% of the symbol length of 120kHz, however, with 960kHz SCS in 60GHz, the 40Ts is even longer than one symbol (120% of a symbol length), so it’s necessary to have a new FR for 60GHz with a new SFTD requirement.</w:t>
      </w:r>
    </w:p>
    <w:p w14:paraId="4D4E592D" w14:textId="77777777" w:rsidR="00726A73" w:rsidRPr="0028112D" w:rsidRDefault="00726A73" w:rsidP="005273BE">
      <w:pPr>
        <w:tabs>
          <w:tab w:val="left" w:pos="20"/>
          <w:tab w:val="left" w:pos="360"/>
        </w:tabs>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75406D91" w14:textId="77777777" w:rsidTr="00E44217">
        <w:tc>
          <w:tcPr>
            <w:tcW w:w="9350" w:type="dxa"/>
          </w:tcPr>
          <w:p w14:paraId="49C0671C" w14:textId="77777777" w:rsidR="005273BE" w:rsidRPr="0028112D" w:rsidRDefault="005273BE" w:rsidP="00E44217">
            <w:pPr>
              <w:tabs>
                <w:tab w:val="left" w:pos="20"/>
                <w:tab w:val="left" w:pos="360"/>
              </w:tabs>
              <w:autoSpaceDE w:val="0"/>
              <w:autoSpaceDN w:val="0"/>
              <w:adjustRightInd w:val="0"/>
              <w:jc w:val="both"/>
              <w:rPr>
                <w:color w:val="000000"/>
                <w:sz w:val="20"/>
                <w:szCs w:val="20"/>
              </w:rPr>
            </w:pPr>
            <w:r w:rsidRPr="0028112D">
              <w:rPr>
                <w:noProof/>
                <w:color w:val="000000"/>
                <w:sz w:val="20"/>
                <w:szCs w:val="20"/>
              </w:rPr>
              <w:lastRenderedPageBreak/>
              <w:drawing>
                <wp:inline distT="0" distB="0" distL="0" distR="0" wp14:anchorId="2D325EDE" wp14:editId="006E3582">
                  <wp:extent cx="5275385" cy="1702664"/>
                  <wp:effectExtent l="0" t="0" r="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83652" cy="1705332"/>
                          </a:xfrm>
                          <a:prstGeom prst="rect">
                            <a:avLst/>
                          </a:prstGeom>
                        </pic:spPr>
                      </pic:pic>
                    </a:graphicData>
                  </a:graphic>
                </wp:inline>
              </w:drawing>
            </w:r>
          </w:p>
        </w:tc>
      </w:tr>
    </w:tbl>
    <w:p w14:paraId="43B8500F" w14:textId="77777777" w:rsidR="005273BE" w:rsidRDefault="005273BE" w:rsidP="005273BE">
      <w:pPr>
        <w:tabs>
          <w:tab w:val="left" w:pos="20"/>
          <w:tab w:val="left" w:pos="360"/>
        </w:tabs>
        <w:autoSpaceDE w:val="0"/>
        <w:autoSpaceDN w:val="0"/>
        <w:adjustRightInd w:val="0"/>
        <w:jc w:val="both"/>
        <w:rPr>
          <w:color w:val="000000"/>
          <w:sz w:val="20"/>
          <w:szCs w:val="20"/>
        </w:rPr>
      </w:pPr>
    </w:p>
    <w:p w14:paraId="10E41702" w14:textId="6C7441FC" w:rsidR="005273BE" w:rsidRDefault="005273BE" w:rsidP="005273BE">
      <w:pPr>
        <w:tabs>
          <w:tab w:val="left" w:pos="20"/>
          <w:tab w:val="left" w:pos="360"/>
        </w:tabs>
        <w:autoSpaceDE w:val="0"/>
        <w:autoSpaceDN w:val="0"/>
        <w:adjustRightInd w:val="0"/>
        <w:jc w:val="both"/>
        <w:rPr>
          <w:color w:val="000000"/>
          <w:sz w:val="20"/>
          <w:szCs w:val="20"/>
        </w:rPr>
      </w:pPr>
      <w:r w:rsidRPr="0028112D">
        <w:rPr>
          <w:color w:val="000000"/>
          <w:sz w:val="20"/>
          <w:szCs w:val="20"/>
        </w:rPr>
        <w:t xml:space="preserve">TA offset is another aspect in the timing requirement, and the 60GHz TA offset may not follow the FR2 requirement. The existing TA offset requirement is derived based on UE capability of Tx-Rx/Rx-Tx transition time, but if new 60GHz UE has different Tx-Rx/Rx-Tx transition time, the existing FR2 TA offset cannot be </w:t>
      </w:r>
      <w:r w:rsidR="007C4A4E" w:rsidRPr="0028112D">
        <w:rPr>
          <w:color w:val="000000"/>
          <w:sz w:val="20"/>
          <w:szCs w:val="20"/>
        </w:rPr>
        <w:t>applicable</w:t>
      </w:r>
      <w:r w:rsidRPr="0028112D">
        <w:rPr>
          <w:color w:val="000000"/>
          <w:sz w:val="20"/>
          <w:szCs w:val="20"/>
        </w:rPr>
        <w:t>. Thus, a new FR of 60GHz with a new TA offset requirement is more reasonable.</w:t>
      </w:r>
    </w:p>
    <w:p w14:paraId="43146312" w14:textId="77777777" w:rsidR="00726A73" w:rsidRPr="0028112D" w:rsidRDefault="00726A73" w:rsidP="005273BE">
      <w:pPr>
        <w:tabs>
          <w:tab w:val="left" w:pos="20"/>
          <w:tab w:val="left" w:pos="360"/>
        </w:tabs>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308DACA8" w14:textId="77777777" w:rsidTr="00E44217">
        <w:tc>
          <w:tcPr>
            <w:tcW w:w="9350" w:type="dxa"/>
          </w:tcPr>
          <w:p w14:paraId="19536D1D" w14:textId="77777777" w:rsidR="005273BE" w:rsidRPr="0028112D" w:rsidRDefault="005273BE" w:rsidP="00E44217">
            <w:pPr>
              <w:tabs>
                <w:tab w:val="left" w:pos="20"/>
                <w:tab w:val="left" w:pos="360"/>
              </w:tabs>
              <w:autoSpaceDE w:val="0"/>
              <w:autoSpaceDN w:val="0"/>
              <w:adjustRightInd w:val="0"/>
              <w:jc w:val="both"/>
              <w:rPr>
                <w:color w:val="000000"/>
                <w:sz w:val="20"/>
                <w:szCs w:val="20"/>
              </w:rPr>
            </w:pPr>
            <w:r w:rsidRPr="0028112D">
              <w:rPr>
                <w:noProof/>
                <w:color w:val="000000"/>
                <w:sz w:val="20"/>
                <w:szCs w:val="20"/>
              </w:rPr>
              <w:drawing>
                <wp:inline distT="0" distB="0" distL="0" distR="0" wp14:anchorId="1F075AF3" wp14:editId="7838E1E2">
                  <wp:extent cx="4519020" cy="2699825"/>
                  <wp:effectExtent l="0" t="0" r="2540" b="5715"/>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29769" cy="2706247"/>
                          </a:xfrm>
                          <a:prstGeom prst="rect">
                            <a:avLst/>
                          </a:prstGeom>
                        </pic:spPr>
                      </pic:pic>
                    </a:graphicData>
                  </a:graphic>
                </wp:inline>
              </w:drawing>
            </w:r>
          </w:p>
        </w:tc>
      </w:tr>
    </w:tbl>
    <w:p w14:paraId="46256892" w14:textId="77777777" w:rsidR="005273BE" w:rsidRPr="0028112D" w:rsidRDefault="005273BE" w:rsidP="005273BE">
      <w:pPr>
        <w:tabs>
          <w:tab w:val="left" w:pos="20"/>
          <w:tab w:val="left" w:pos="360"/>
        </w:tabs>
        <w:autoSpaceDE w:val="0"/>
        <w:autoSpaceDN w:val="0"/>
        <w:adjustRightInd w:val="0"/>
        <w:jc w:val="both"/>
        <w:rPr>
          <w:color w:val="000000"/>
          <w:sz w:val="20"/>
          <w:szCs w:val="20"/>
        </w:rPr>
      </w:pPr>
    </w:p>
    <w:p w14:paraId="24298414" w14:textId="1838D7FE" w:rsidR="005273BE" w:rsidRDefault="005273BE" w:rsidP="005273BE">
      <w:pPr>
        <w:pStyle w:val="ListParagraph"/>
        <w:numPr>
          <w:ilvl w:val="0"/>
          <w:numId w:val="14"/>
        </w:numPr>
        <w:autoSpaceDE w:val="0"/>
        <w:autoSpaceDN w:val="0"/>
        <w:adjustRightInd w:val="0"/>
        <w:jc w:val="both"/>
        <w:rPr>
          <w:b/>
          <w:bCs/>
          <w:color w:val="000000"/>
          <w:sz w:val="20"/>
          <w:szCs w:val="20"/>
        </w:rPr>
      </w:pPr>
      <w:r w:rsidRPr="00FA65D0">
        <w:rPr>
          <w:b/>
          <w:bCs/>
          <w:color w:val="000000"/>
          <w:sz w:val="20"/>
          <w:szCs w:val="20"/>
        </w:rPr>
        <w:t>Interruption requirement with aggressor or victims</w:t>
      </w:r>
    </w:p>
    <w:p w14:paraId="57C2E617" w14:textId="77777777" w:rsidR="00FA65D0" w:rsidRPr="00FA65D0" w:rsidRDefault="00FA65D0" w:rsidP="00FA65D0">
      <w:pPr>
        <w:pStyle w:val="ListParagraph"/>
        <w:autoSpaceDE w:val="0"/>
        <w:autoSpaceDN w:val="0"/>
        <w:adjustRightInd w:val="0"/>
        <w:ind w:left="360"/>
        <w:jc w:val="both"/>
        <w:rPr>
          <w:b/>
          <w:bCs/>
          <w:color w:val="000000"/>
          <w:sz w:val="20"/>
          <w:szCs w:val="20"/>
        </w:rPr>
      </w:pPr>
    </w:p>
    <w:p w14:paraId="67BCC157" w14:textId="6B19198E" w:rsidR="005273BE" w:rsidRDefault="005273BE" w:rsidP="005273BE">
      <w:pPr>
        <w:autoSpaceDE w:val="0"/>
        <w:autoSpaceDN w:val="0"/>
        <w:adjustRightInd w:val="0"/>
        <w:jc w:val="both"/>
        <w:rPr>
          <w:color w:val="000000"/>
          <w:sz w:val="20"/>
          <w:szCs w:val="20"/>
        </w:rPr>
      </w:pPr>
      <w:r w:rsidRPr="0028112D">
        <w:rPr>
          <w:color w:val="000000"/>
          <w:sz w:val="20"/>
          <w:szCs w:val="20"/>
        </w:rPr>
        <w:t xml:space="preserve">Even though some of the existing interruption requirements are designed based on </w:t>
      </w:r>
      <w:r w:rsidR="00726A73">
        <w:rPr>
          <w:color w:val="000000"/>
          <w:sz w:val="20"/>
          <w:szCs w:val="20"/>
        </w:rPr>
        <w:t xml:space="preserve">the </w:t>
      </w:r>
      <w:r w:rsidRPr="0028112D">
        <w:rPr>
          <w:color w:val="000000"/>
          <w:sz w:val="20"/>
          <w:szCs w:val="20"/>
        </w:rPr>
        <w:t xml:space="preserve">SCS of </w:t>
      </w:r>
      <w:r w:rsidR="00726A73">
        <w:rPr>
          <w:color w:val="000000"/>
          <w:sz w:val="20"/>
          <w:szCs w:val="20"/>
        </w:rPr>
        <w:t xml:space="preserve">the </w:t>
      </w:r>
      <w:r w:rsidRPr="0028112D">
        <w:rPr>
          <w:color w:val="000000"/>
          <w:sz w:val="20"/>
          <w:szCs w:val="20"/>
        </w:rPr>
        <w:t xml:space="preserve">victim CC, there are still many interruption requirements associated with FR (shown as below). The main reason </w:t>
      </w:r>
      <w:proofErr w:type="gramStart"/>
      <w:r w:rsidRPr="0028112D">
        <w:rPr>
          <w:color w:val="000000"/>
          <w:sz w:val="20"/>
          <w:szCs w:val="20"/>
        </w:rPr>
        <w:t>is:</w:t>
      </w:r>
      <w:proofErr w:type="gramEnd"/>
      <w:r w:rsidRPr="0028112D">
        <w:rPr>
          <w:color w:val="000000"/>
          <w:sz w:val="20"/>
          <w:szCs w:val="20"/>
        </w:rPr>
        <w:t xml:space="preserve"> the RF tuning time is differentiated from FR1 to FR2 and therefore the interruption from RF tuning/retuning shall be designed on per-FR basis. Similarly, </w:t>
      </w:r>
      <w:r w:rsidR="00726A73">
        <w:rPr>
          <w:color w:val="000000"/>
          <w:sz w:val="20"/>
          <w:szCs w:val="20"/>
        </w:rPr>
        <w:t xml:space="preserve">any </w:t>
      </w:r>
      <w:r w:rsidRPr="0028112D">
        <w:rPr>
          <w:color w:val="000000"/>
          <w:sz w:val="20"/>
          <w:szCs w:val="20"/>
        </w:rPr>
        <w:t xml:space="preserve">new 60GHz </w:t>
      </w:r>
      <w:r w:rsidR="00726A73">
        <w:rPr>
          <w:color w:val="000000"/>
          <w:sz w:val="20"/>
          <w:szCs w:val="20"/>
        </w:rPr>
        <w:t xml:space="preserve">design </w:t>
      </w:r>
      <w:r w:rsidRPr="0028112D">
        <w:rPr>
          <w:color w:val="000000"/>
          <w:sz w:val="20"/>
          <w:szCs w:val="20"/>
        </w:rPr>
        <w:t>would probably have shorter RF tuning/retuning time, and the existing FR2 interruption requirement cannot be applied any longer. Thus, it</w:t>
      </w:r>
      <w:r w:rsidR="00726A73">
        <w:rPr>
          <w:color w:val="000000"/>
          <w:sz w:val="20"/>
          <w:szCs w:val="20"/>
        </w:rPr>
        <w:t xml:space="preserve"> i</w:t>
      </w:r>
      <w:r w:rsidRPr="0028112D">
        <w:rPr>
          <w:color w:val="000000"/>
          <w:sz w:val="20"/>
          <w:szCs w:val="20"/>
        </w:rPr>
        <w:t xml:space="preserve">s reasonable to have a new FR of 60GHz with </w:t>
      </w:r>
      <w:r w:rsidR="00726A73">
        <w:rPr>
          <w:color w:val="000000"/>
          <w:sz w:val="20"/>
          <w:szCs w:val="20"/>
        </w:rPr>
        <w:t xml:space="preserve">a </w:t>
      </w:r>
      <w:r w:rsidRPr="0028112D">
        <w:rPr>
          <w:color w:val="000000"/>
          <w:sz w:val="20"/>
          <w:szCs w:val="20"/>
        </w:rPr>
        <w:t>new interruption requirement.</w:t>
      </w:r>
    </w:p>
    <w:p w14:paraId="3AAC1FE7" w14:textId="77777777" w:rsidR="00726A73" w:rsidRPr="0028112D" w:rsidRDefault="00726A73" w:rsidP="005273BE">
      <w:pPr>
        <w:autoSpaceDE w:val="0"/>
        <w:autoSpaceDN w:val="0"/>
        <w:adjustRightInd w:val="0"/>
        <w:jc w:val="both"/>
        <w:rPr>
          <w:color w:val="000000"/>
          <w:sz w:val="20"/>
          <w:szCs w:val="20"/>
        </w:rPr>
      </w:pPr>
    </w:p>
    <w:tbl>
      <w:tblPr>
        <w:tblStyle w:val="TableGrid"/>
        <w:tblW w:w="0" w:type="auto"/>
        <w:jc w:val="center"/>
        <w:tblLook w:val="04A0" w:firstRow="1" w:lastRow="0" w:firstColumn="1" w:lastColumn="0" w:noHBand="0" w:noVBand="1"/>
      </w:tblPr>
      <w:tblGrid>
        <w:gridCol w:w="7916"/>
      </w:tblGrid>
      <w:tr w:rsidR="005273BE" w:rsidRPr="0028112D" w14:paraId="1974953E" w14:textId="77777777" w:rsidTr="00E44217">
        <w:trPr>
          <w:trHeight w:val="2958"/>
          <w:jc w:val="center"/>
        </w:trPr>
        <w:tc>
          <w:tcPr>
            <w:tcW w:w="7900" w:type="dxa"/>
          </w:tcPr>
          <w:p w14:paraId="4F520AC9" w14:textId="77777777" w:rsidR="005273BE" w:rsidRPr="0028112D"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393E9CFE" wp14:editId="32197E23">
                  <wp:extent cx="4888929" cy="1903339"/>
                  <wp:effectExtent l="0" t="0" r="635" b="190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27710" cy="1918437"/>
                          </a:xfrm>
                          <a:prstGeom prst="rect">
                            <a:avLst/>
                          </a:prstGeom>
                        </pic:spPr>
                      </pic:pic>
                    </a:graphicData>
                  </a:graphic>
                </wp:inline>
              </w:drawing>
            </w:r>
          </w:p>
        </w:tc>
      </w:tr>
    </w:tbl>
    <w:p w14:paraId="288E254B" w14:textId="77777777" w:rsidR="005273BE" w:rsidRPr="0028112D" w:rsidRDefault="005273BE" w:rsidP="005273BE">
      <w:pPr>
        <w:autoSpaceDE w:val="0"/>
        <w:autoSpaceDN w:val="0"/>
        <w:adjustRightInd w:val="0"/>
        <w:jc w:val="both"/>
        <w:rPr>
          <w:color w:val="000000"/>
          <w:sz w:val="20"/>
          <w:szCs w:val="20"/>
        </w:rPr>
      </w:pPr>
    </w:p>
    <w:p w14:paraId="703989CE" w14:textId="6B01F0BF" w:rsidR="005273BE" w:rsidRDefault="005273BE" w:rsidP="005273BE">
      <w:pPr>
        <w:pStyle w:val="ListParagraph"/>
        <w:numPr>
          <w:ilvl w:val="0"/>
          <w:numId w:val="14"/>
        </w:numPr>
        <w:autoSpaceDE w:val="0"/>
        <w:autoSpaceDN w:val="0"/>
        <w:adjustRightInd w:val="0"/>
        <w:jc w:val="both"/>
        <w:rPr>
          <w:b/>
          <w:bCs/>
          <w:color w:val="000000"/>
          <w:sz w:val="20"/>
          <w:szCs w:val="20"/>
        </w:rPr>
      </w:pPr>
      <w:r w:rsidRPr="00FA65D0">
        <w:rPr>
          <w:b/>
          <w:bCs/>
          <w:color w:val="000000"/>
          <w:sz w:val="20"/>
          <w:szCs w:val="20"/>
        </w:rPr>
        <w:t>Scheduling restriction</w:t>
      </w:r>
    </w:p>
    <w:p w14:paraId="447DBAE9" w14:textId="77777777" w:rsidR="00FA65D0" w:rsidRPr="00FA65D0" w:rsidRDefault="00FA65D0" w:rsidP="00FA65D0">
      <w:pPr>
        <w:pStyle w:val="ListParagraph"/>
        <w:autoSpaceDE w:val="0"/>
        <w:autoSpaceDN w:val="0"/>
        <w:adjustRightInd w:val="0"/>
        <w:ind w:left="360"/>
        <w:jc w:val="both"/>
        <w:rPr>
          <w:b/>
          <w:bCs/>
          <w:color w:val="000000"/>
          <w:sz w:val="20"/>
          <w:szCs w:val="20"/>
        </w:rPr>
      </w:pPr>
    </w:p>
    <w:p w14:paraId="6A68A2B0" w14:textId="3CF64244" w:rsidR="005273BE" w:rsidRDefault="005273BE" w:rsidP="005273BE">
      <w:pPr>
        <w:autoSpaceDE w:val="0"/>
        <w:autoSpaceDN w:val="0"/>
        <w:adjustRightInd w:val="0"/>
        <w:jc w:val="both"/>
        <w:rPr>
          <w:color w:val="000000"/>
          <w:sz w:val="20"/>
          <w:szCs w:val="20"/>
        </w:rPr>
      </w:pPr>
      <w:r w:rsidRPr="0028112D">
        <w:rPr>
          <w:color w:val="000000"/>
          <w:sz w:val="20"/>
          <w:szCs w:val="20"/>
        </w:rPr>
        <w:t>One example of existing scheduling restriction for mobility measurement is shown as below</w:t>
      </w:r>
      <w:r w:rsidR="00726A73">
        <w:rPr>
          <w:color w:val="000000"/>
          <w:sz w:val="20"/>
          <w:szCs w:val="20"/>
        </w:rPr>
        <w:t>:</w:t>
      </w:r>
    </w:p>
    <w:p w14:paraId="2B49956A" w14:textId="77777777" w:rsidR="00726A73" w:rsidRPr="0028112D" w:rsidRDefault="00726A73" w:rsidP="005273BE">
      <w:pPr>
        <w:autoSpaceDE w:val="0"/>
        <w:autoSpaceDN w:val="0"/>
        <w:adjustRightInd w:val="0"/>
        <w:jc w:val="both"/>
        <w:rPr>
          <w:color w:val="000000"/>
          <w:sz w:val="20"/>
          <w:szCs w:val="20"/>
        </w:rPr>
      </w:pPr>
    </w:p>
    <w:tbl>
      <w:tblPr>
        <w:tblStyle w:val="TableGrid"/>
        <w:tblW w:w="0" w:type="auto"/>
        <w:tblLook w:val="04A0" w:firstRow="1" w:lastRow="0" w:firstColumn="1" w:lastColumn="0" w:noHBand="0" w:noVBand="1"/>
      </w:tblPr>
      <w:tblGrid>
        <w:gridCol w:w="9350"/>
      </w:tblGrid>
      <w:tr w:rsidR="005273BE" w:rsidRPr="0028112D" w14:paraId="779E2890" w14:textId="77777777" w:rsidTr="00E44217">
        <w:tc>
          <w:tcPr>
            <w:tcW w:w="9350" w:type="dxa"/>
          </w:tcPr>
          <w:p w14:paraId="4B3627B5" w14:textId="77777777" w:rsidR="005273BE" w:rsidRPr="0028112D"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1708D198" wp14:editId="485D75A2">
                  <wp:extent cx="5753686" cy="1199914"/>
                  <wp:effectExtent l="0" t="0" r="0"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3433" cy="1201947"/>
                          </a:xfrm>
                          <a:prstGeom prst="rect">
                            <a:avLst/>
                          </a:prstGeom>
                        </pic:spPr>
                      </pic:pic>
                    </a:graphicData>
                  </a:graphic>
                </wp:inline>
              </w:drawing>
            </w:r>
          </w:p>
        </w:tc>
      </w:tr>
    </w:tbl>
    <w:p w14:paraId="0987060A" w14:textId="77777777" w:rsidR="005273BE" w:rsidRPr="0028112D" w:rsidRDefault="005273BE" w:rsidP="005273BE">
      <w:pPr>
        <w:autoSpaceDE w:val="0"/>
        <w:autoSpaceDN w:val="0"/>
        <w:adjustRightInd w:val="0"/>
        <w:jc w:val="both"/>
        <w:rPr>
          <w:color w:val="000000"/>
          <w:sz w:val="20"/>
          <w:szCs w:val="20"/>
        </w:rPr>
      </w:pPr>
    </w:p>
    <w:p w14:paraId="1BFF6C80" w14:textId="315F2658" w:rsidR="005273BE" w:rsidRPr="0028112D" w:rsidRDefault="005273BE" w:rsidP="005273BE">
      <w:pPr>
        <w:autoSpaceDE w:val="0"/>
        <w:autoSpaceDN w:val="0"/>
        <w:adjustRightInd w:val="0"/>
        <w:jc w:val="both"/>
        <w:rPr>
          <w:color w:val="000000"/>
          <w:sz w:val="20"/>
          <w:szCs w:val="20"/>
        </w:rPr>
      </w:pPr>
      <w:r w:rsidRPr="0028112D">
        <w:rPr>
          <w:color w:val="000000"/>
          <w:sz w:val="20"/>
          <w:szCs w:val="20"/>
        </w:rPr>
        <w:t xml:space="preserve">The one symbol before and after SSB is based on the assumption of cell phase synchronization error of 3us. However, on </w:t>
      </w:r>
      <w:r w:rsidR="00726A73">
        <w:rPr>
          <w:color w:val="000000"/>
          <w:sz w:val="20"/>
          <w:szCs w:val="20"/>
        </w:rPr>
        <w:t xml:space="preserve">a </w:t>
      </w:r>
      <w:r w:rsidRPr="0028112D">
        <w:rPr>
          <w:color w:val="000000"/>
          <w:sz w:val="20"/>
          <w:szCs w:val="20"/>
        </w:rPr>
        <w:t xml:space="preserve">60GHz carrier, the symbol length with 960kHz is as low as 1.09us, and therefore the existing one symbols before and after SSB for FR2 scheduling restriction would be </w:t>
      </w:r>
      <w:r>
        <w:rPr>
          <w:color w:val="000000"/>
          <w:sz w:val="20"/>
          <w:szCs w:val="20"/>
        </w:rPr>
        <w:t>insufficient</w:t>
      </w:r>
      <w:r w:rsidRPr="0028112D">
        <w:rPr>
          <w:color w:val="000000"/>
          <w:sz w:val="20"/>
          <w:szCs w:val="20"/>
        </w:rPr>
        <w:t>. Thus, using a new FR of 60GHz with a new cell phase synchronization requirement or with a new scheduling restriction would be the most reasonable solution.</w:t>
      </w:r>
    </w:p>
    <w:p w14:paraId="30F22D30" w14:textId="77777777" w:rsidR="005273BE" w:rsidRPr="0028112D" w:rsidRDefault="005273BE" w:rsidP="005273BE">
      <w:pPr>
        <w:jc w:val="both"/>
        <w:rPr>
          <w:sz w:val="20"/>
          <w:szCs w:val="20"/>
        </w:rPr>
      </w:pPr>
    </w:p>
    <w:p w14:paraId="6FA0BB7A" w14:textId="6E865BB4" w:rsidR="00FA65D0" w:rsidRDefault="00FA65D0" w:rsidP="00FA65D0">
      <w:pPr>
        <w:pStyle w:val="Heading2"/>
      </w:pPr>
      <w:r>
        <w:t xml:space="preserve">2.2 </w:t>
      </w:r>
      <w:proofErr w:type="spellStart"/>
      <w:r>
        <w:t>Demod</w:t>
      </w:r>
      <w:proofErr w:type="spellEnd"/>
      <w:r>
        <w:t xml:space="preserve"> requirements in RAN4</w:t>
      </w:r>
    </w:p>
    <w:p w14:paraId="6B0DA79F" w14:textId="1FED5885" w:rsidR="00FA65D0" w:rsidRPr="00FA65D0" w:rsidRDefault="00FA65D0" w:rsidP="00FA65D0">
      <w:pPr>
        <w:rPr>
          <w:color w:val="000000"/>
          <w:sz w:val="20"/>
          <w:szCs w:val="20"/>
        </w:rPr>
      </w:pPr>
      <w:r w:rsidRPr="00FA65D0">
        <w:rPr>
          <w:color w:val="000000"/>
          <w:sz w:val="20"/>
          <w:szCs w:val="20"/>
        </w:rPr>
        <w:t>Currently RAN1 is discussing potential enhancements to PT-RS and DM-RS for 60GHz operation. In case such new DM-RS and PT-RS</w:t>
      </w:r>
      <w:r w:rsidR="00726A73">
        <w:rPr>
          <w:color w:val="000000"/>
          <w:sz w:val="20"/>
          <w:szCs w:val="20"/>
        </w:rPr>
        <w:t xml:space="preserve"> are specified</w:t>
      </w:r>
      <w:r w:rsidR="00C34DDA">
        <w:rPr>
          <w:color w:val="000000"/>
          <w:sz w:val="20"/>
          <w:szCs w:val="20"/>
        </w:rPr>
        <w:t>,</w:t>
      </w:r>
      <w:r w:rsidRPr="00FA65D0">
        <w:rPr>
          <w:color w:val="000000"/>
          <w:sz w:val="20"/>
          <w:szCs w:val="20"/>
        </w:rPr>
        <w:t xml:space="preserve"> the existing demodulation and CSI requirements for FR2 would not be applicable and a new set of requirements would need to be defined. Also, currently the radiated requirements apply to all FR2 bands and are band agnostic. Currently it is FFS if the existing FR2 </w:t>
      </w:r>
      <w:proofErr w:type="spellStart"/>
      <w:r w:rsidRPr="00FA65D0">
        <w:rPr>
          <w:color w:val="000000"/>
          <w:sz w:val="20"/>
          <w:szCs w:val="20"/>
        </w:rPr>
        <w:t>demod</w:t>
      </w:r>
      <w:proofErr w:type="spellEnd"/>
      <w:r w:rsidRPr="00FA65D0">
        <w:rPr>
          <w:color w:val="000000"/>
          <w:sz w:val="20"/>
          <w:szCs w:val="20"/>
        </w:rPr>
        <w:t xml:space="preserve"> requirements are applicable to band n262 / 47GHz. Even if DM-RS and PT-RS remained unchanged for 60GHz operation, it would need further study and discussion in RAN4 whether existing demodulation and CSI radiated test requirements are applicable to </w:t>
      </w:r>
      <w:r w:rsidR="00726A73">
        <w:rPr>
          <w:color w:val="000000"/>
          <w:sz w:val="20"/>
          <w:szCs w:val="20"/>
        </w:rPr>
        <w:t xml:space="preserve">the </w:t>
      </w:r>
      <w:r w:rsidRPr="00FA65D0">
        <w:rPr>
          <w:color w:val="000000"/>
          <w:sz w:val="20"/>
          <w:szCs w:val="20"/>
        </w:rPr>
        <w:t>new bands. From demodulation and CSI reporting requirements perspective</w:t>
      </w:r>
      <w:r w:rsidR="00726A73">
        <w:rPr>
          <w:color w:val="000000"/>
          <w:sz w:val="20"/>
          <w:szCs w:val="20"/>
        </w:rPr>
        <w:t>,</w:t>
      </w:r>
      <w:r w:rsidRPr="00FA65D0">
        <w:rPr>
          <w:color w:val="000000"/>
          <w:sz w:val="20"/>
          <w:szCs w:val="20"/>
        </w:rPr>
        <w:t xml:space="preserve"> it is not possible to conclude if extending FR2 to include 60GHz band or defining a new frequency range is a better choice at this stage.</w:t>
      </w:r>
    </w:p>
    <w:p w14:paraId="32C07888" w14:textId="4EA0B07A" w:rsidR="005273BE" w:rsidRDefault="005273BE" w:rsidP="005273BE">
      <w:pPr>
        <w:rPr>
          <w:lang w:eastAsia="en-US"/>
        </w:rPr>
      </w:pPr>
    </w:p>
    <w:p w14:paraId="44A20862" w14:textId="3E3BB1D4" w:rsidR="00C34DDA" w:rsidRDefault="00C34DDA" w:rsidP="00C34DDA">
      <w:pPr>
        <w:pStyle w:val="Heading2"/>
      </w:pPr>
      <w:r>
        <w:t>2.3 UE RF requirements in RAN4</w:t>
      </w:r>
    </w:p>
    <w:p w14:paraId="4D96DACE" w14:textId="597021BB" w:rsidR="00C34DDA" w:rsidRDefault="00C34DDA" w:rsidP="00C34DDA">
      <w:pPr>
        <w:rPr>
          <w:color w:val="000000"/>
          <w:sz w:val="20"/>
          <w:szCs w:val="20"/>
        </w:rPr>
      </w:pPr>
      <w:r w:rsidRPr="00C34DDA">
        <w:rPr>
          <w:color w:val="000000"/>
          <w:sz w:val="20"/>
          <w:szCs w:val="20"/>
        </w:rPr>
        <w:t xml:space="preserve">For </w:t>
      </w:r>
      <w:r w:rsidR="00726A73">
        <w:rPr>
          <w:color w:val="000000"/>
          <w:sz w:val="20"/>
          <w:szCs w:val="20"/>
        </w:rPr>
        <w:t>the</w:t>
      </w:r>
      <w:r w:rsidR="00726A73" w:rsidRPr="00C34DDA">
        <w:rPr>
          <w:color w:val="000000"/>
          <w:sz w:val="20"/>
          <w:szCs w:val="20"/>
        </w:rPr>
        <w:t xml:space="preserve"> </w:t>
      </w:r>
      <w:r w:rsidRPr="00C34DDA">
        <w:rPr>
          <w:color w:val="000000"/>
          <w:sz w:val="20"/>
          <w:szCs w:val="20"/>
        </w:rPr>
        <w:t>frequen</w:t>
      </w:r>
      <w:r w:rsidR="00726A73">
        <w:rPr>
          <w:color w:val="000000"/>
          <w:sz w:val="20"/>
          <w:szCs w:val="20"/>
        </w:rPr>
        <w:t>cy</w:t>
      </w:r>
      <w:r w:rsidRPr="00C34DDA">
        <w:rPr>
          <w:color w:val="000000"/>
          <w:sz w:val="20"/>
          <w:szCs w:val="20"/>
        </w:rPr>
        <w:t xml:space="preserve"> band from 52.6GHz to 71GHz, as the frequency goes higher, the RF components’ performance such PA, LO, filter </w:t>
      </w:r>
      <w:proofErr w:type="gramStart"/>
      <w:r w:rsidRPr="00C34DDA">
        <w:rPr>
          <w:color w:val="000000"/>
          <w:sz w:val="20"/>
          <w:szCs w:val="20"/>
        </w:rPr>
        <w:t>are</w:t>
      </w:r>
      <w:proofErr w:type="gramEnd"/>
      <w:r w:rsidRPr="00C34DDA">
        <w:rPr>
          <w:color w:val="000000"/>
          <w:sz w:val="20"/>
          <w:szCs w:val="20"/>
        </w:rPr>
        <w:t xml:space="preserve"> not expected to be as good as for FR2. Also, the coexistence scenarios with other systems will be different and potential</w:t>
      </w:r>
      <w:r w:rsidR="00726A73">
        <w:rPr>
          <w:color w:val="000000"/>
          <w:sz w:val="20"/>
          <w:szCs w:val="20"/>
        </w:rPr>
        <w:t>ly</w:t>
      </w:r>
      <w:r w:rsidRPr="00C34DDA">
        <w:rPr>
          <w:color w:val="000000"/>
          <w:sz w:val="20"/>
          <w:szCs w:val="20"/>
        </w:rPr>
        <w:t xml:space="preserve"> lead to different ACLR/ACS requirements. As a result, the RF requirements such as MOP, ACLR/SEM, ACS/blocking, etc. could be different. Depending on the gap with those FR2 requirements, which will require more discussions in RAN4, it seems reasonable to defer the decision on extending FR2 to cover this band or creating a new FR.</w:t>
      </w:r>
    </w:p>
    <w:p w14:paraId="5043CD05" w14:textId="78B81BD7" w:rsidR="002D56F3" w:rsidRDefault="002D56F3" w:rsidP="00C34DDA">
      <w:pPr>
        <w:rPr>
          <w:color w:val="000000"/>
          <w:sz w:val="20"/>
          <w:szCs w:val="20"/>
        </w:rPr>
      </w:pPr>
    </w:p>
    <w:p w14:paraId="09AB7AF3" w14:textId="3EEB44E3" w:rsidR="002D56F3" w:rsidRDefault="002D56F3" w:rsidP="002D56F3">
      <w:pPr>
        <w:rPr>
          <w:color w:val="000000"/>
          <w:sz w:val="20"/>
          <w:szCs w:val="20"/>
        </w:rPr>
      </w:pPr>
      <w:r>
        <w:rPr>
          <w:color w:val="000000"/>
          <w:sz w:val="20"/>
          <w:szCs w:val="20"/>
        </w:rPr>
        <w:t xml:space="preserve">From the viewpoint of the specification impact, it bears mentioning that there are separate specifications for FR1 and FR2 frequency ranges, TS 38.101-1 and TS 38.101-2, respectively. There is also TS 38.101-3 that captures further FR1 and FR2 inter-working operation. </w:t>
      </w:r>
      <w:r w:rsidRPr="00B211C1">
        <w:rPr>
          <w:color w:val="000000"/>
          <w:sz w:val="20"/>
          <w:szCs w:val="20"/>
        </w:rPr>
        <w:t xml:space="preserve">Leveraging FR2 will allow 3GPP to re-use existing specifications, such as TS 38.101-2 and TS 38.101-3. Introduction of a new frequency range </w:t>
      </w:r>
      <w:r>
        <w:rPr>
          <w:color w:val="000000"/>
          <w:sz w:val="20"/>
          <w:szCs w:val="20"/>
        </w:rPr>
        <w:t>might</w:t>
      </w:r>
      <w:r w:rsidRPr="00B211C1">
        <w:rPr>
          <w:color w:val="000000"/>
          <w:sz w:val="20"/>
          <w:szCs w:val="20"/>
        </w:rPr>
        <w:t xml:space="preserve"> instantiate at least one new specification, e.g. TS 38.101-x, in additional to which another specification might be needed to cover band combinations between a new frequency range and existing ranges. In fact, </w:t>
      </w:r>
      <w:r>
        <w:rPr>
          <w:color w:val="000000"/>
          <w:sz w:val="20"/>
          <w:szCs w:val="20"/>
        </w:rPr>
        <w:t>introduction of a new frequency range will trigger further discussions on</w:t>
      </w:r>
      <w:r w:rsidRPr="00B211C1">
        <w:rPr>
          <w:color w:val="000000"/>
          <w:sz w:val="20"/>
          <w:szCs w:val="20"/>
        </w:rPr>
        <w:t xml:space="preserve"> how to handle </w:t>
      </w:r>
      <w:r>
        <w:rPr>
          <w:color w:val="000000"/>
          <w:sz w:val="20"/>
          <w:szCs w:val="20"/>
        </w:rPr>
        <w:t xml:space="preserve">band combinations and </w:t>
      </w:r>
      <w:r w:rsidRPr="00B211C1">
        <w:rPr>
          <w:color w:val="000000"/>
          <w:sz w:val="20"/>
          <w:szCs w:val="20"/>
        </w:rPr>
        <w:t>potential permutations between FR1/FR2/FR3.</w:t>
      </w:r>
    </w:p>
    <w:p w14:paraId="4A1102F6" w14:textId="77777777" w:rsidR="002D56F3" w:rsidRDefault="002D56F3" w:rsidP="00C34DDA">
      <w:pPr>
        <w:rPr>
          <w:color w:val="000000"/>
          <w:sz w:val="20"/>
          <w:szCs w:val="20"/>
        </w:rPr>
      </w:pPr>
    </w:p>
    <w:p w14:paraId="059F202D" w14:textId="1805DADD" w:rsidR="00C34DDA" w:rsidRDefault="00C34DDA" w:rsidP="005273BE">
      <w:pPr>
        <w:rPr>
          <w:lang w:eastAsia="en-US"/>
        </w:rPr>
      </w:pPr>
    </w:p>
    <w:p w14:paraId="1B98CA70" w14:textId="2C35E24A" w:rsidR="00C34DDA" w:rsidRDefault="00C34DDA" w:rsidP="00C34DDA">
      <w:pPr>
        <w:pStyle w:val="Heading2"/>
      </w:pPr>
      <w:r>
        <w:t xml:space="preserve">2.4 Consideration from RAN1 perspective </w:t>
      </w:r>
    </w:p>
    <w:p w14:paraId="2A36F55E" w14:textId="77777777" w:rsidR="00A76978" w:rsidRPr="00A76978" w:rsidRDefault="00A76978" w:rsidP="00A76978">
      <w:pPr>
        <w:rPr>
          <w:lang w:val="en-GB" w:eastAsia="en-US"/>
        </w:rPr>
      </w:pPr>
    </w:p>
    <w:p w14:paraId="67F09CCA" w14:textId="27731836" w:rsidR="00A76978" w:rsidRPr="00A76978" w:rsidRDefault="00AB7F3B" w:rsidP="005273BE">
      <w:pPr>
        <w:rPr>
          <w:color w:val="000000"/>
          <w:sz w:val="20"/>
          <w:szCs w:val="20"/>
        </w:rPr>
      </w:pPr>
      <w:r w:rsidRPr="00A76978">
        <w:rPr>
          <w:color w:val="000000"/>
          <w:sz w:val="20"/>
          <w:szCs w:val="20"/>
        </w:rPr>
        <w:t xml:space="preserve">In the NR feature list </w:t>
      </w:r>
      <w:r w:rsidR="009E4AB1">
        <w:rPr>
          <w:color w:val="000000"/>
          <w:sz w:val="20"/>
          <w:szCs w:val="20"/>
        </w:rPr>
        <w:fldChar w:fldCharType="begin"/>
      </w:r>
      <w:r w:rsidR="009E4AB1">
        <w:rPr>
          <w:color w:val="000000"/>
          <w:sz w:val="20"/>
          <w:szCs w:val="20"/>
        </w:rPr>
        <w:instrText xml:space="preserve"> REF _Ref66516791 \r \h </w:instrText>
      </w:r>
      <w:r w:rsidR="009E4AB1">
        <w:rPr>
          <w:color w:val="000000"/>
          <w:sz w:val="20"/>
          <w:szCs w:val="20"/>
        </w:rPr>
      </w:r>
      <w:r w:rsidR="009E4AB1">
        <w:rPr>
          <w:color w:val="000000"/>
          <w:sz w:val="20"/>
          <w:szCs w:val="20"/>
        </w:rPr>
        <w:fldChar w:fldCharType="separate"/>
      </w:r>
      <w:r w:rsidR="009E4AB1">
        <w:rPr>
          <w:color w:val="000000"/>
          <w:sz w:val="20"/>
          <w:szCs w:val="20"/>
        </w:rPr>
        <w:t>[2]</w:t>
      </w:r>
      <w:r w:rsidR="009E4AB1">
        <w:rPr>
          <w:color w:val="000000"/>
          <w:sz w:val="20"/>
          <w:szCs w:val="20"/>
        </w:rPr>
        <w:fldChar w:fldCharType="end"/>
      </w:r>
      <w:r w:rsidRPr="00A76978">
        <w:rPr>
          <w:color w:val="000000"/>
          <w:sz w:val="20"/>
          <w:szCs w:val="20"/>
        </w:rPr>
        <w:t xml:space="preserve">, there are a variety of Layer 1 UE features that are (a) mandatory without capability signaling and (b) mandatory with capability signaling for FR2.  Some of the UE features that mandatory without capability signaling may not apply to the new may be applicable to the existing FR2 design but not applicable to the new 60 GHz design e.g. Feature Group (FG) 3-1 on DL control channel and procedure. Others that are mandatory with capability signaling for FR2 may need a more fundamental modification than adding a few new parameters e.g. FG 2-2 on PDSCH beam switching. </w:t>
      </w:r>
      <w:r w:rsidR="00A76978" w:rsidRPr="00A76978">
        <w:rPr>
          <w:color w:val="000000"/>
          <w:sz w:val="20"/>
          <w:szCs w:val="20"/>
        </w:rPr>
        <w:t xml:space="preserve">Finally, in the RAN1 </w:t>
      </w:r>
      <w:r w:rsidR="009E4AB1" w:rsidRPr="00A76978">
        <w:rPr>
          <w:color w:val="000000"/>
          <w:sz w:val="20"/>
          <w:szCs w:val="20"/>
        </w:rPr>
        <w:t>specifications</w:t>
      </w:r>
      <w:r w:rsidR="00A76978" w:rsidRPr="00A76978">
        <w:rPr>
          <w:color w:val="000000"/>
          <w:sz w:val="20"/>
          <w:szCs w:val="20"/>
        </w:rPr>
        <w:t xml:space="preserve"> 38.211</w:t>
      </w:r>
      <w:r w:rsidR="009E4AB1">
        <w:rPr>
          <w:color w:val="000000"/>
          <w:sz w:val="20"/>
          <w:szCs w:val="20"/>
        </w:rPr>
        <w:t xml:space="preserve"> </w:t>
      </w:r>
      <w:r w:rsidR="009E4AB1">
        <w:rPr>
          <w:color w:val="000000"/>
          <w:sz w:val="20"/>
          <w:szCs w:val="20"/>
        </w:rPr>
        <w:fldChar w:fldCharType="begin"/>
      </w:r>
      <w:r w:rsidR="009E4AB1">
        <w:rPr>
          <w:color w:val="000000"/>
          <w:sz w:val="20"/>
          <w:szCs w:val="20"/>
        </w:rPr>
        <w:instrText xml:space="preserve"> REF _Ref66516806 \r \h </w:instrText>
      </w:r>
      <w:r w:rsidR="009E4AB1">
        <w:rPr>
          <w:color w:val="000000"/>
          <w:sz w:val="20"/>
          <w:szCs w:val="20"/>
        </w:rPr>
      </w:r>
      <w:r w:rsidR="009E4AB1">
        <w:rPr>
          <w:color w:val="000000"/>
          <w:sz w:val="20"/>
          <w:szCs w:val="20"/>
        </w:rPr>
        <w:fldChar w:fldCharType="separate"/>
      </w:r>
      <w:r w:rsidR="009E4AB1">
        <w:rPr>
          <w:color w:val="000000"/>
          <w:sz w:val="20"/>
          <w:szCs w:val="20"/>
        </w:rPr>
        <w:t>[3]</w:t>
      </w:r>
      <w:r w:rsidR="009E4AB1">
        <w:rPr>
          <w:color w:val="000000"/>
          <w:sz w:val="20"/>
          <w:szCs w:val="20"/>
        </w:rPr>
        <w:fldChar w:fldCharType="end"/>
      </w:r>
      <w:r w:rsidR="00A76978" w:rsidRPr="00A76978">
        <w:rPr>
          <w:color w:val="000000"/>
          <w:sz w:val="20"/>
          <w:szCs w:val="20"/>
        </w:rPr>
        <w:t xml:space="preserve"> and 38.213</w:t>
      </w:r>
      <w:r w:rsidR="009E4AB1">
        <w:rPr>
          <w:color w:val="000000"/>
          <w:sz w:val="20"/>
          <w:szCs w:val="20"/>
        </w:rPr>
        <w:t xml:space="preserve"> </w:t>
      </w:r>
      <w:r w:rsidR="009E4AB1">
        <w:rPr>
          <w:color w:val="000000"/>
          <w:sz w:val="20"/>
          <w:szCs w:val="20"/>
        </w:rPr>
        <w:fldChar w:fldCharType="begin"/>
      </w:r>
      <w:r w:rsidR="009E4AB1">
        <w:rPr>
          <w:color w:val="000000"/>
          <w:sz w:val="20"/>
          <w:szCs w:val="20"/>
        </w:rPr>
        <w:instrText xml:space="preserve"> REF _Ref66516811 \r \h </w:instrText>
      </w:r>
      <w:r w:rsidR="009E4AB1">
        <w:rPr>
          <w:color w:val="000000"/>
          <w:sz w:val="20"/>
          <w:szCs w:val="20"/>
        </w:rPr>
      </w:r>
      <w:r w:rsidR="009E4AB1">
        <w:rPr>
          <w:color w:val="000000"/>
          <w:sz w:val="20"/>
          <w:szCs w:val="20"/>
        </w:rPr>
        <w:fldChar w:fldCharType="separate"/>
      </w:r>
      <w:r w:rsidR="009E4AB1">
        <w:rPr>
          <w:color w:val="000000"/>
          <w:sz w:val="20"/>
          <w:szCs w:val="20"/>
        </w:rPr>
        <w:t>[4]</w:t>
      </w:r>
      <w:r w:rsidR="009E4AB1">
        <w:rPr>
          <w:color w:val="000000"/>
          <w:sz w:val="20"/>
          <w:szCs w:val="20"/>
        </w:rPr>
        <w:fldChar w:fldCharType="end"/>
      </w:r>
      <w:r w:rsidR="00A76978" w:rsidRPr="00A76978">
        <w:rPr>
          <w:color w:val="000000"/>
          <w:sz w:val="20"/>
          <w:szCs w:val="20"/>
        </w:rPr>
        <w:t xml:space="preserve">, there are procedures and rules that are hardcoded for FR2 operation that may need to be modified. </w:t>
      </w:r>
    </w:p>
    <w:p w14:paraId="05C3209D" w14:textId="77777777" w:rsidR="00A76978" w:rsidRPr="00A76978" w:rsidRDefault="00A76978" w:rsidP="005273BE">
      <w:pPr>
        <w:rPr>
          <w:color w:val="000000"/>
          <w:sz w:val="20"/>
          <w:szCs w:val="20"/>
        </w:rPr>
      </w:pPr>
    </w:p>
    <w:p w14:paraId="5065645C" w14:textId="113A5658" w:rsidR="00A76978" w:rsidRDefault="00A76978" w:rsidP="00A76978">
      <w:pPr>
        <w:rPr>
          <w:color w:val="000000"/>
          <w:sz w:val="20"/>
          <w:szCs w:val="20"/>
        </w:rPr>
      </w:pPr>
      <w:r w:rsidRPr="00A76978">
        <w:rPr>
          <w:color w:val="000000"/>
          <w:sz w:val="20"/>
          <w:szCs w:val="20"/>
        </w:rPr>
        <w:lastRenderedPageBreak/>
        <w:t xml:space="preserve">Depending on the extent of the changes which also may need some discussion in RAN1, </w:t>
      </w:r>
      <w:proofErr w:type="gramStart"/>
      <w:r w:rsidRPr="00A76978">
        <w:rPr>
          <w:color w:val="000000"/>
          <w:sz w:val="20"/>
          <w:szCs w:val="20"/>
        </w:rPr>
        <w:t>it ,</w:t>
      </w:r>
      <w:proofErr w:type="gramEnd"/>
      <w:r w:rsidRPr="00A76978">
        <w:rPr>
          <w:color w:val="000000"/>
          <w:sz w:val="20"/>
          <w:szCs w:val="20"/>
        </w:rPr>
        <w:t xml:space="preserve"> it seems reasonable to defer the decision on extending FR2 to cover this band or creating a new FR.</w:t>
      </w:r>
      <w:r>
        <w:rPr>
          <w:color w:val="000000"/>
          <w:sz w:val="20"/>
          <w:szCs w:val="20"/>
        </w:rPr>
        <w:t xml:space="preserve"> In the following, we highlight some of these issues in more detail.</w:t>
      </w:r>
    </w:p>
    <w:p w14:paraId="060F1C6E" w14:textId="0CC24CC1" w:rsidR="00A76978" w:rsidRDefault="00A76978" w:rsidP="00A76978">
      <w:pPr>
        <w:rPr>
          <w:color w:val="000000"/>
          <w:sz w:val="20"/>
          <w:szCs w:val="20"/>
        </w:rPr>
      </w:pPr>
    </w:p>
    <w:p w14:paraId="150742B6" w14:textId="7EAC1735" w:rsidR="00A76978" w:rsidRPr="00101EB9" w:rsidRDefault="00A76978" w:rsidP="00101EB9">
      <w:pPr>
        <w:pStyle w:val="Heading4"/>
        <w:numPr>
          <w:ilvl w:val="0"/>
          <w:numId w:val="14"/>
        </w:numPr>
        <w:rPr>
          <w:rFonts w:ascii="Times New Roman" w:hAnsi="Times New Roman"/>
          <w:b/>
          <w:bCs/>
          <w:color w:val="000000"/>
          <w:sz w:val="20"/>
          <w:lang w:val="en-US" w:eastAsia="zh-CN"/>
        </w:rPr>
      </w:pPr>
      <w:r w:rsidRPr="00101EB9">
        <w:rPr>
          <w:rFonts w:ascii="Times New Roman" w:hAnsi="Times New Roman"/>
          <w:b/>
          <w:bCs/>
          <w:color w:val="000000"/>
          <w:sz w:val="20"/>
          <w:lang w:val="en-US" w:eastAsia="zh-CN"/>
        </w:rPr>
        <w:t>FG 2-2 PDSCH Beam Switching</w:t>
      </w:r>
      <w:r w:rsidR="00101EB9" w:rsidRPr="00101EB9">
        <w:rPr>
          <w:rFonts w:ascii="Times New Roman" w:hAnsi="Times New Roman"/>
          <w:b/>
          <w:bCs/>
          <w:color w:val="000000"/>
          <w:sz w:val="20"/>
          <w:lang w:val="en-US" w:eastAsia="zh-CN"/>
        </w:rPr>
        <w:t xml:space="preserve"> (</w:t>
      </w:r>
      <w:proofErr w:type="spellStart"/>
      <w:r w:rsidR="00101EB9" w:rsidRPr="00101EB9">
        <w:rPr>
          <w:rFonts w:ascii="Times New Roman" w:hAnsi="Times New Roman"/>
          <w:b/>
          <w:bCs/>
          <w:color w:val="000000"/>
          <w:sz w:val="20"/>
          <w:lang w:val="en-US" w:eastAsia="zh-CN"/>
        </w:rPr>
        <w:t>timeDurationForQCL</w:t>
      </w:r>
      <w:proofErr w:type="spellEnd"/>
      <w:r w:rsidR="00101EB9" w:rsidRPr="00101EB9">
        <w:rPr>
          <w:rFonts w:ascii="Times New Roman" w:hAnsi="Times New Roman"/>
          <w:b/>
          <w:bCs/>
          <w:color w:val="000000"/>
          <w:sz w:val="20"/>
          <w:lang w:val="en-US" w:eastAsia="zh-CN"/>
        </w:rPr>
        <w:t>)</w:t>
      </w:r>
    </w:p>
    <w:p w14:paraId="3C66BB8F" w14:textId="077ABE0E" w:rsidR="00A76978" w:rsidRDefault="00A76978" w:rsidP="00A76978">
      <w:pPr>
        <w:rPr>
          <w:color w:val="000000"/>
          <w:sz w:val="20"/>
          <w:szCs w:val="20"/>
        </w:rPr>
      </w:pPr>
      <w:r>
        <w:rPr>
          <w:color w:val="000000"/>
          <w:sz w:val="20"/>
          <w:szCs w:val="20"/>
        </w:rPr>
        <w:t>This FG indic</w:t>
      </w:r>
      <w:r w:rsidR="001D3883">
        <w:rPr>
          <w:color w:val="000000"/>
          <w:sz w:val="20"/>
          <w:szCs w:val="20"/>
        </w:rPr>
        <w:t>ate</w:t>
      </w:r>
      <w:r>
        <w:rPr>
          <w:color w:val="000000"/>
          <w:sz w:val="20"/>
          <w:szCs w:val="20"/>
        </w:rPr>
        <w:t>s the time duration to determine and apply spatial QCL for a corresponding PDSCH reception with the time duration defined counting from the end of the last symbol of the PDCCH to the beginning of the first symbol of the PDSCH and is mandatory with capability signaling for FR2. It is selected from a candidate value set.</w:t>
      </w:r>
    </w:p>
    <w:p w14:paraId="458EED36" w14:textId="172F1207" w:rsidR="00A76978" w:rsidRDefault="00A76978" w:rsidP="00A76978">
      <w:pPr>
        <w:rPr>
          <w:color w:val="000000"/>
          <w:sz w:val="20"/>
          <w:szCs w:val="20"/>
        </w:rPr>
      </w:pPr>
    </w:p>
    <w:p w14:paraId="03D34F1E" w14:textId="6F90C8DD" w:rsidR="00A76978" w:rsidRDefault="00A76978" w:rsidP="00A76978">
      <w:pPr>
        <w:rPr>
          <w:color w:val="000000"/>
          <w:sz w:val="20"/>
          <w:szCs w:val="20"/>
        </w:rPr>
      </w:pPr>
      <w:r>
        <w:rPr>
          <w:color w:val="000000"/>
          <w:sz w:val="20"/>
          <w:szCs w:val="20"/>
        </w:rPr>
        <w:t xml:space="preserve">However, with the introduction of multi-PDSCH scheduling with a single DCI in the 60 GHz design, additional modifications may be needed as </w:t>
      </w:r>
      <w:r w:rsidR="001D3883">
        <w:rPr>
          <w:color w:val="000000"/>
          <w:sz w:val="20"/>
          <w:szCs w:val="20"/>
        </w:rPr>
        <w:t>captured</w:t>
      </w:r>
      <w:r>
        <w:rPr>
          <w:color w:val="000000"/>
          <w:sz w:val="20"/>
          <w:szCs w:val="20"/>
        </w:rPr>
        <w:t xml:space="preserve"> </w:t>
      </w:r>
      <w:r w:rsidR="00101EB9">
        <w:rPr>
          <w:color w:val="000000"/>
          <w:sz w:val="20"/>
          <w:szCs w:val="20"/>
        </w:rPr>
        <w:t xml:space="preserve">based on the </w:t>
      </w:r>
      <w:r>
        <w:rPr>
          <w:color w:val="000000"/>
          <w:sz w:val="20"/>
          <w:szCs w:val="20"/>
        </w:rPr>
        <w:t xml:space="preserve">agreement in RAN1 </w:t>
      </w:r>
      <w:r w:rsidR="009E4AB1">
        <w:rPr>
          <w:color w:val="000000"/>
          <w:sz w:val="20"/>
          <w:szCs w:val="20"/>
        </w:rPr>
        <w:t>#</w:t>
      </w:r>
      <w:r>
        <w:rPr>
          <w:color w:val="000000"/>
          <w:sz w:val="20"/>
          <w:szCs w:val="20"/>
        </w:rPr>
        <w:t>104-</w:t>
      </w:r>
      <w:r w:rsidR="009E4AB1">
        <w:rPr>
          <w:color w:val="000000"/>
          <w:sz w:val="20"/>
          <w:szCs w:val="20"/>
        </w:rPr>
        <w:t xml:space="preserve">e </w:t>
      </w:r>
      <w:r>
        <w:rPr>
          <w:color w:val="000000"/>
          <w:sz w:val="20"/>
          <w:szCs w:val="20"/>
        </w:rPr>
        <w:t xml:space="preserve"> </w:t>
      </w:r>
      <w:r w:rsidR="009E4AB1">
        <w:rPr>
          <w:color w:val="000000"/>
          <w:sz w:val="20"/>
          <w:szCs w:val="20"/>
        </w:rPr>
        <w:fldChar w:fldCharType="begin"/>
      </w:r>
      <w:r w:rsidR="009E4AB1">
        <w:rPr>
          <w:color w:val="000000"/>
          <w:sz w:val="20"/>
          <w:szCs w:val="20"/>
        </w:rPr>
        <w:instrText xml:space="preserve"> REF _Ref66516863 \r \h </w:instrText>
      </w:r>
      <w:r w:rsidR="009E4AB1">
        <w:rPr>
          <w:color w:val="000000"/>
          <w:sz w:val="20"/>
          <w:szCs w:val="20"/>
        </w:rPr>
      </w:r>
      <w:r w:rsidR="009E4AB1">
        <w:rPr>
          <w:color w:val="000000"/>
          <w:sz w:val="20"/>
          <w:szCs w:val="20"/>
        </w:rPr>
        <w:fldChar w:fldCharType="separate"/>
      </w:r>
      <w:r w:rsidR="009E4AB1">
        <w:rPr>
          <w:color w:val="000000"/>
          <w:sz w:val="20"/>
          <w:szCs w:val="20"/>
        </w:rPr>
        <w:t>[5]</w:t>
      </w:r>
      <w:r w:rsidR="009E4AB1">
        <w:rPr>
          <w:color w:val="000000"/>
          <w:sz w:val="20"/>
          <w:szCs w:val="20"/>
        </w:rPr>
        <w:fldChar w:fldCharType="end"/>
      </w:r>
      <w:r w:rsidR="009E4AB1">
        <w:rPr>
          <w:color w:val="000000"/>
          <w:sz w:val="20"/>
          <w:szCs w:val="20"/>
        </w:rPr>
        <w:t>:</w:t>
      </w:r>
    </w:p>
    <w:p w14:paraId="718AC116" w14:textId="7E308425" w:rsidR="00A76978" w:rsidRDefault="00A76978" w:rsidP="00A76978">
      <w:pPr>
        <w:rPr>
          <w:color w:val="000000"/>
          <w:sz w:val="20"/>
          <w:szCs w:val="20"/>
        </w:rPr>
      </w:pPr>
      <w:r>
        <w:rPr>
          <w:color w:val="000000"/>
          <w:sz w:val="20"/>
          <w:szCs w:val="20"/>
        </w:rPr>
        <w:t xml:space="preserve"> </w:t>
      </w:r>
    </w:p>
    <w:p w14:paraId="11ED5BD4" w14:textId="77777777" w:rsidR="00A76978" w:rsidRPr="00A76978" w:rsidRDefault="00A76978" w:rsidP="00A76978">
      <w:pPr>
        <w:rPr>
          <w:color w:val="000000"/>
          <w:sz w:val="20"/>
          <w:szCs w:val="20"/>
        </w:rPr>
      </w:pPr>
      <w:r w:rsidRPr="00A76978">
        <w:rPr>
          <w:color w:val="000000"/>
          <w:sz w:val="20"/>
          <w:szCs w:val="20"/>
          <w:highlight w:val="green"/>
        </w:rPr>
        <w:t>Agreement</w:t>
      </w:r>
      <w:r w:rsidRPr="00A76978">
        <w:rPr>
          <w:color w:val="000000"/>
          <w:sz w:val="20"/>
          <w:szCs w:val="20"/>
        </w:rPr>
        <w:t>:</w:t>
      </w:r>
    </w:p>
    <w:p w14:paraId="59E88F35" w14:textId="77777777" w:rsidR="00A76978" w:rsidRPr="00A76978" w:rsidRDefault="00A76978" w:rsidP="00A76978">
      <w:pPr>
        <w:rPr>
          <w:color w:val="000000"/>
          <w:sz w:val="20"/>
          <w:szCs w:val="20"/>
        </w:rPr>
      </w:pPr>
      <w:r w:rsidRPr="00A76978">
        <w:rPr>
          <w:color w:val="000000"/>
          <w:sz w:val="20"/>
          <w:szCs w:val="20"/>
        </w:rPr>
        <w:t xml:space="preserve">Further study the following: </w:t>
      </w:r>
    </w:p>
    <w:p w14:paraId="49CAD120" w14:textId="77777777" w:rsidR="00A76978" w:rsidRPr="00A76978" w:rsidRDefault="00A76978" w:rsidP="00A76978">
      <w:pPr>
        <w:numPr>
          <w:ilvl w:val="0"/>
          <w:numId w:val="18"/>
        </w:numPr>
        <w:rPr>
          <w:color w:val="000000"/>
          <w:sz w:val="20"/>
          <w:szCs w:val="20"/>
        </w:rPr>
      </w:pPr>
      <w:r w:rsidRPr="00A76978">
        <w:rPr>
          <w:color w:val="000000"/>
          <w:sz w:val="20"/>
          <w:szCs w:val="20"/>
        </w:rPr>
        <w:t xml:space="preserve">For multi-PDSCH scheduling with a single DCI, study the QCL assumption(s) the UE should apply for each PDSCH for the case when some of the scheduled PDSCHs have scheduling offset less than </w:t>
      </w:r>
      <w:proofErr w:type="spellStart"/>
      <w:r w:rsidRPr="00A76978">
        <w:rPr>
          <w:color w:val="000000"/>
          <w:sz w:val="20"/>
          <w:szCs w:val="20"/>
        </w:rPr>
        <w:t>timeDurationForQCL</w:t>
      </w:r>
      <w:proofErr w:type="spellEnd"/>
      <w:r w:rsidRPr="00A76978">
        <w:rPr>
          <w:color w:val="000000"/>
          <w:sz w:val="20"/>
          <w:szCs w:val="20"/>
        </w:rPr>
        <w:t xml:space="preserve"> while some have scheduling offset equal to or greater than </w:t>
      </w:r>
      <w:proofErr w:type="spellStart"/>
      <w:r w:rsidRPr="00A76978">
        <w:rPr>
          <w:color w:val="000000"/>
          <w:sz w:val="20"/>
          <w:szCs w:val="20"/>
        </w:rPr>
        <w:t>timeDurationForQCL</w:t>
      </w:r>
      <w:proofErr w:type="spellEnd"/>
      <w:r w:rsidRPr="00A76978">
        <w:rPr>
          <w:color w:val="000000"/>
          <w:sz w:val="20"/>
          <w:szCs w:val="20"/>
        </w:rPr>
        <w:t>.</w:t>
      </w:r>
    </w:p>
    <w:p w14:paraId="04C58F8C" w14:textId="77777777" w:rsidR="00A76978" w:rsidRPr="00A76978" w:rsidRDefault="00A76978" w:rsidP="00A76978">
      <w:pPr>
        <w:numPr>
          <w:ilvl w:val="0"/>
          <w:numId w:val="18"/>
        </w:numPr>
        <w:rPr>
          <w:color w:val="000000"/>
          <w:sz w:val="20"/>
          <w:szCs w:val="20"/>
        </w:rPr>
      </w:pPr>
      <w:r w:rsidRPr="00A76978">
        <w:rPr>
          <w:color w:val="000000"/>
          <w:sz w:val="20"/>
          <w:szCs w:val="20"/>
        </w:rPr>
        <w:t xml:space="preserve">For multi-PDSCH scheduling with a single DCI, study the QCL assumption(s) the UE should apply for each PDSCH for the case when all of the scheduled PDSCHs have scheduling offset less than </w:t>
      </w:r>
      <w:proofErr w:type="spellStart"/>
      <w:r w:rsidRPr="00A76978">
        <w:rPr>
          <w:color w:val="000000"/>
          <w:sz w:val="20"/>
          <w:szCs w:val="20"/>
        </w:rPr>
        <w:t>timeDurationForQCL</w:t>
      </w:r>
      <w:proofErr w:type="spellEnd"/>
      <w:r w:rsidRPr="00A76978">
        <w:rPr>
          <w:color w:val="000000"/>
          <w:sz w:val="20"/>
          <w:szCs w:val="20"/>
        </w:rPr>
        <w:t xml:space="preserve"> </w:t>
      </w:r>
    </w:p>
    <w:p w14:paraId="2A2095F3" w14:textId="77777777" w:rsidR="00A76978" w:rsidRPr="00A76978" w:rsidRDefault="00A76978" w:rsidP="00A76978">
      <w:pPr>
        <w:numPr>
          <w:ilvl w:val="0"/>
          <w:numId w:val="18"/>
        </w:numPr>
        <w:rPr>
          <w:color w:val="000000"/>
          <w:sz w:val="20"/>
          <w:szCs w:val="20"/>
        </w:rPr>
      </w:pPr>
      <w:r w:rsidRPr="00A76978">
        <w:rPr>
          <w:color w:val="000000"/>
          <w:sz w:val="20"/>
          <w:szCs w:val="20"/>
        </w:rPr>
        <w:t>Note: If the current Rel-16 behavior would be extended to multiple-PDSCH scheduling, it could result in a different QCL assumption for each PDSCH due to the fact the that the CORESET with the lowest ID can be different for different slots, resulting in a potentially different TCI state for each slot</w:t>
      </w:r>
    </w:p>
    <w:p w14:paraId="3F254592" w14:textId="77777777" w:rsidR="00A76978" w:rsidRPr="00A76978" w:rsidRDefault="00A76978" w:rsidP="00A76978">
      <w:pPr>
        <w:numPr>
          <w:ilvl w:val="0"/>
          <w:numId w:val="18"/>
        </w:numPr>
        <w:rPr>
          <w:color w:val="000000"/>
          <w:sz w:val="20"/>
          <w:szCs w:val="20"/>
        </w:rPr>
      </w:pPr>
      <w:r w:rsidRPr="00A76978">
        <w:rPr>
          <w:color w:val="000000"/>
          <w:sz w:val="20"/>
          <w:szCs w:val="20"/>
        </w:rPr>
        <w:t>Note: Applicability to multi-TRP can be discussed further</w:t>
      </w:r>
    </w:p>
    <w:p w14:paraId="264A7814" w14:textId="77777777" w:rsidR="00A76978" w:rsidRPr="00A76978" w:rsidRDefault="00A76978" w:rsidP="00A76978">
      <w:pPr>
        <w:rPr>
          <w:color w:val="000000"/>
          <w:sz w:val="20"/>
          <w:szCs w:val="20"/>
        </w:rPr>
      </w:pPr>
    </w:p>
    <w:p w14:paraId="0031135C" w14:textId="15C1346D" w:rsidR="00101EB9" w:rsidRDefault="00101EB9" w:rsidP="00F3025B">
      <w:pPr>
        <w:rPr>
          <w:color w:val="000000"/>
          <w:sz w:val="20"/>
          <w:szCs w:val="20"/>
        </w:rPr>
      </w:pPr>
      <w:r w:rsidRPr="00F3025B">
        <w:rPr>
          <w:color w:val="000000"/>
          <w:sz w:val="20"/>
          <w:szCs w:val="20"/>
        </w:rPr>
        <w:t xml:space="preserve">There may be a need to modify the description to capture the behavior </w:t>
      </w:r>
      <w:r w:rsidR="00A051F0" w:rsidRPr="00F3025B">
        <w:rPr>
          <w:color w:val="000000"/>
          <w:sz w:val="20"/>
          <w:szCs w:val="20"/>
        </w:rPr>
        <w:t>based on multiple PDSCH transmissions that could occur before or after the indicated time. A simple extension of the FG to additional candidate values may not be feasible and this will prevent a simple extension of FR2 to the new band.</w:t>
      </w:r>
    </w:p>
    <w:p w14:paraId="3004EFB2" w14:textId="77777777" w:rsidR="00F3025B" w:rsidRPr="00F3025B" w:rsidRDefault="00F3025B" w:rsidP="00F3025B">
      <w:pPr>
        <w:rPr>
          <w:color w:val="000000"/>
          <w:sz w:val="20"/>
          <w:szCs w:val="20"/>
        </w:rPr>
      </w:pPr>
    </w:p>
    <w:p w14:paraId="6FD0DECA" w14:textId="77777777" w:rsidR="00101EB9" w:rsidRPr="00101EB9" w:rsidRDefault="00101EB9" w:rsidP="00101EB9">
      <w:pPr>
        <w:pStyle w:val="ListParagraph"/>
        <w:numPr>
          <w:ilvl w:val="0"/>
          <w:numId w:val="14"/>
        </w:numPr>
        <w:rPr>
          <w:b/>
          <w:bCs/>
          <w:color w:val="000000"/>
          <w:sz w:val="20"/>
          <w:szCs w:val="20"/>
        </w:rPr>
      </w:pPr>
      <w:r w:rsidRPr="00101EB9">
        <w:rPr>
          <w:b/>
          <w:bCs/>
          <w:color w:val="000000"/>
          <w:sz w:val="20"/>
          <w:szCs w:val="20"/>
        </w:rPr>
        <w:t>FG 2-27 Beam switching (</w:t>
      </w:r>
      <w:proofErr w:type="spellStart"/>
      <w:r w:rsidRPr="00101EB9">
        <w:rPr>
          <w:b/>
          <w:bCs/>
          <w:i/>
          <w:color w:val="000000"/>
          <w:sz w:val="20"/>
          <w:szCs w:val="20"/>
          <w:lang w:val="en-GB"/>
        </w:rPr>
        <w:t>maxNumberRxTxBeamSwitchD</w:t>
      </w:r>
      <w:proofErr w:type="spellEnd"/>
      <w:r w:rsidRPr="00101EB9">
        <w:rPr>
          <w:b/>
          <w:bCs/>
          <w:i/>
          <w:color w:val="000000"/>
          <w:sz w:val="20"/>
          <w:szCs w:val="20"/>
          <w:lang w:val="en-GB"/>
        </w:rPr>
        <w:t>)</w:t>
      </w:r>
    </w:p>
    <w:p w14:paraId="3AFFEB83" w14:textId="77777777" w:rsidR="00101EB9" w:rsidRDefault="00101EB9" w:rsidP="00101EB9">
      <w:pPr>
        <w:rPr>
          <w:color w:val="000000"/>
          <w:sz w:val="20"/>
          <w:szCs w:val="20"/>
        </w:rPr>
      </w:pPr>
    </w:p>
    <w:p w14:paraId="06FACB72" w14:textId="77777777" w:rsidR="00101EB9" w:rsidRPr="00A76978" w:rsidRDefault="00101EB9" w:rsidP="00101EB9">
      <w:pPr>
        <w:rPr>
          <w:color w:val="000000"/>
          <w:sz w:val="20"/>
          <w:szCs w:val="20"/>
        </w:rPr>
      </w:pPr>
      <w:r>
        <w:rPr>
          <w:color w:val="000000"/>
          <w:sz w:val="20"/>
          <w:szCs w:val="20"/>
        </w:rPr>
        <w:t>In</w:t>
      </w:r>
      <w:r w:rsidRPr="00A76978">
        <w:rPr>
          <w:color w:val="000000"/>
          <w:sz w:val="20"/>
          <w:szCs w:val="20"/>
        </w:rPr>
        <w:t xml:space="preserve"> the existing FR2 design, switching Tx/Rx beams was assumed to be in the order of 100ns (based on TR38.317-2 Section 9.10.2) and switching from DL-to-UL or UL-to-DL requires up to 13792 Tc (as specified in 38.211 Section 4.3.2 based on R4-1805766). In the Feb. meeting </w:t>
      </w:r>
      <w:proofErr w:type="gramStart"/>
      <w:r w:rsidRPr="00A76978">
        <w:rPr>
          <w:color w:val="000000"/>
          <w:sz w:val="20"/>
          <w:szCs w:val="20"/>
        </w:rPr>
        <w:t>an</w:t>
      </w:r>
      <w:proofErr w:type="gramEnd"/>
      <w:r w:rsidRPr="00A76978">
        <w:rPr>
          <w:color w:val="000000"/>
          <w:sz w:val="20"/>
          <w:szCs w:val="20"/>
        </w:rPr>
        <w:t xml:space="preserve"> LS R1-2102202 was approved from RAN1 to RAN4 to ask whether the existing assumption can apply for 60 GHz band or not. There will be official RAN4 discussion on this issue. If it turns out that the assumption can no longer apply, new requirements will be defined for 60GHz band.</w:t>
      </w:r>
    </w:p>
    <w:p w14:paraId="4EA37B53" w14:textId="3517356E" w:rsidR="001D3883" w:rsidRPr="00101EB9" w:rsidRDefault="00101EB9" w:rsidP="00101EB9">
      <w:pPr>
        <w:pStyle w:val="Heading4"/>
        <w:numPr>
          <w:ilvl w:val="0"/>
          <w:numId w:val="19"/>
        </w:numPr>
        <w:rPr>
          <w:rFonts w:ascii="Times New Roman" w:hAnsi="Times New Roman"/>
          <w:b/>
          <w:bCs/>
          <w:color w:val="000000"/>
          <w:sz w:val="20"/>
          <w:lang w:val="en-US" w:eastAsia="zh-CN"/>
        </w:rPr>
      </w:pPr>
      <w:r w:rsidRPr="00101EB9">
        <w:rPr>
          <w:rFonts w:ascii="Times New Roman" w:hAnsi="Times New Roman"/>
          <w:b/>
          <w:bCs/>
          <w:color w:val="000000"/>
          <w:sz w:val="20"/>
          <w:lang w:val="en-US" w:eastAsia="zh-CN"/>
        </w:rPr>
        <w:t xml:space="preserve">FG </w:t>
      </w:r>
      <w:r w:rsidR="001D3883" w:rsidRPr="00101EB9">
        <w:rPr>
          <w:rFonts w:ascii="Times New Roman" w:hAnsi="Times New Roman"/>
          <w:b/>
          <w:bCs/>
          <w:color w:val="000000"/>
          <w:sz w:val="20"/>
          <w:lang w:val="en-US" w:eastAsia="zh-CN"/>
        </w:rPr>
        <w:t>2-</w:t>
      </w:r>
      <w:r w:rsidR="00D87497">
        <w:rPr>
          <w:rFonts w:ascii="Times New Roman" w:hAnsi="Times New Roman"/>
          <w:b/>
          <w:bCs/>
          <w:color w:val="000000"/>
          <w:sz w:val="20"/>
          <w:lang w:val="en-US" w:eastAsia="zh-CN"/>
        </w:rPr>
        <w:t>3</w:t>
      </w:r>
      <w:r w:rsidR="001D3883" w:rsidRPr="00101EB9">
        <w:rPr>
          <w:rFonts w:ascii="Times New Roman" w:hAnsi="Times New Roman"/>
          <w:b/>
          <w:bCs/>
          <w:color w:val="000000"/>
          <w:sz w:val="20"/>
          <w:lang w:val="en-US" w:eastAsia="zh-CN"/>
        </w:rPr>
        <w:t xml:space="preserve"> PDSCH MIMO Layers</w:t>
      </w:r>
    </w:p>
    <w:p w14:paraId="58548C44" w14:textId="77777777" w:rsidR="001D3883" w:rsidRDefault="001D3883" w:rsidP="00A76978">
      <w:pPr>
        <w:rPr>
          <w:color w:val="000000"/>
          <w:sz w:val="20"/>
          <w:szCs w:val="20"/>
        </w:rPr>
      </w:pPr>
      <w:r>
        <w:rPr>
          <w:color w:val="000000"/>
          <w:sz w:val="20"/>
          <w:szCs w:val="20"/>
        </w:rPr>
        <w:t xml:space="preserve">This FG indicates the number of PDSCH MIMO layers. It is mandatory with capability signaling to support at least 4 MIMO layers in the bands where 4Rx is specified as mandatory for the given UE and </w:t>
      </w:r>
      <w:r w:rsidRPr="00101EB9">
        <w:rPr>
          <w:color w:val="000000"/>
          <w:sz w:val="20"/>
          <w:szCs w:val="20"/>
        </w:rPr>
        <w:t>at least 2 MIMO layers in FR2</w:t>
      </w:r>
      <w:r>
        <w:rPr>
          <w:color w:val="000000"/>
          <w:sz w:val="20"/>
          <w:szCs w:val="20"/>
        </w:rPr>
        <w:t xml:space="preserve">.   </w:t>
      </w:r>
    </w:p>
    <w:p w14:paraId="65D6F96C" w14:textId="77777777" w:rsidR="001D3883" w:rsidRDefault="001D3883" w:rsidP="00A76978">
      <w:pPr>
        <w:rPr>
          <w:color w:val="000000"/>
          <w:sz w:val="20"/>
          <w:szCs w:val="20"/>
        </w:rPr>
      </w:pPr>
      <w:r>
        <w:rPr>
          <w:color w:val="000000"/>
          <w:sz w:val="20"/>
          <w:szCs w:val="20"/>
        </w:rPr>
        <w:t xml:space="preserve">If the FR2 is simply extended to cover this band, then a decision has to be made if this condition still holds especially with the large bandwidths and SCSs and correspondingly small symbol durations in this band. </w:t>
      </w:r>
    </w:p>
    <w:p w14:paraId="37178A7F" w14:textId="77777777" w:rsidR="001D3883" w:rsidRDefault="001D3883" w:rsidP="00A76978">
      <w:pPr>
        <w:rPr>
          <w:color w:val="000000"/>
          <w:sz w:val="20"/>
          <w:szCs w:val="20"/>
        </w:rPr>
      </w:pPr>
    </w:p>
    <w:p w14:paraId="10F79274" w14:textId="77777777" w:rsidR="001D3883" w:rsidRPr="00A051F0" w:rsidRDefault="001D3883" w:rsidP="00A051F0">
      <w:pPr>
        <w:pStyle w:val="Heading4"/>
        <w:numPr>
          <w:ilvl w:val="0"/>
          <w:numId w:val="19"/>
        </w:numPr>
        <w:rPr>
          <w:rFonts w:ascii="Times New Roman" w:hAnsi="Times New Roman"/>
          <w:b/>
          <w:bCs/>
          <w:color w:val="000000"/>
          <w:sz w:val="20"/>
          <w:lang w:val="en-US" w:eastAsia="zh-CN"/>
        </w:rPr>
      </w:pPr>
      <w:r w:rsidRPr="00A051F0">
        <w:rPr>
          <w:rFonts w:ascii="Times New Roman" w:hAnsi="Times New Roman"/>
          <w:b/>
          <w:bCs/>
          <w:color w:val="000000"/>
          <w:sz w:val="20"/>
          <w:lang w:val="en-US" w:eastAsia="zh-CN"/>
        </w:rPr>
        <w:t>FG 2-21 Periodic beam support</w:t>
      </w:r>
    </w:p>
    <w:p w14:paraId="74EB5017" w14:textId="77777777" w:rsidR="001D3883" w:rsidRDefault="001D3883" w:rsidP="00A76978">
      <w:pPr>
        <w:rPr>
          <w:color w:val="000000"/>
          <w:sz w:val="20"/>
          <w:szCs w:val="20"/>
        </w:rPr>
      </w:pPr>
    </w:p>
    <w:p w14:paraId="70FA01E8" w14:textId="5F5D25B9" w:rsidR="00A76978" w:rsidRDefault="001D3883" w:rsidP="00A76978">
      <w:pPr>
        <w:rPr>
          <w:color w:val="000000"/>
          <w:sz w:val="20"/>
          <w:szCs w:val="20"/>
        </w:rPr>
      </w:pPr>
      <w:r>
        <w:rPr>
          <w:color w:val="000000"/>
          <w:sz w:val="20"/>
          <w:szCs w:val="20"/>
        </w:rPr>
        <w:t xml:space="preserve">This FG indicates support for the report on PUCCH formats over 1 – 2 OFDM symbols once per slot and support report on PUCCH formats over 4-14 OFDM symbols once per slot and is mandatory with capability signaling for FR1 and FR2. Given the size of the slots, there may be a need to modify the periodicity from once per slot to once per multi-slot which would make </w:t>
      </w:r>
      <w:r w:rsidR="00AD5DD7">
        <w:rPr>
          <w:color w:val="000000"/>
          <w:sz w:val="20"/>
          <w:szCs w:val="20"/>
        </w:rPr>
        <w:t>a new FG necessary for FR2.</w:t>
      </w:r>
    </w:p>
    <w:p w14:paraId="137D240B" w14:textId="42DC7ACF" w:rsidR="00AD5DD7" w:rsidRDefault="00AD5DD7" w:rsidP="00A76978">
      <w:pPr>
        <w:rPr>
          <w:color w:val="000000"/>
          <w:sz w:val="20"/>
          <w:szCs w:val="20"/>
        </w:rPr>
      </w:pPr>
    </w:p>
    <w:p w14:paraId="1F60359C" w14:textId="48F5766A" w:rsidR="00AD5DD7" w:rsidRDefault="00AD5DD7" w:rsidP="00A76978">
      <w:pPr>
        <w:rPr>
          <w:color w:val="000000"/>
          <w:sz w:val="20"/>
          <w:szCs w:val="20"/>
        </w:rPr>
      </w:pPr>
    </w:p>
    <w:p w14:paraId="6386CD61" w14:textId="37514189" w:rsidR="00AD5DD7" w:rsidRPr="00A051F0" w:rsidRDefault="00AD5DD7" w:rsidP="00A051F0">
      <w:pPr>
        <w:pStyle w:val="Heading4"/>
        <w:numPr>
          <w:ilvl w:val="0"/>
          <w:numId w:val="19"/>
        </w:numPr>
        <w:rPr>
          <w:rFonts w:ascii="Times New Roman" w:hAnsi="Times New Roman"/>
          <w:b/>
          <w:bCs/>
          <w:color w:val="000000"/>
          <w:sz w:val="20"/>
          <w:lang w:val="en-US" w:eastAsia="zh-CN"/>
        </w:rPr>
      </w:pPr>
      <w:r w:rsidRPr="00A051F0">
        <w:rPr>
          <w:rFonts w:ascii="Times New Roman" w:hAnsi="Times New Roman"/>
          <w:b/>
          <w:bCs/>
          <w:color w:val="000000"/>
          <w:sz w:val="20"/>
          <w:lang w:val="en-US" w:eastAsia="zh-CN"/>
        </w:rPr>
        <w:t xml:space="preserve">FG </w:t>
      </w:r>
      <w:proofErr w:type="gramStart"/>
      <w:r w:rsidRPr="00A051F0">
        <w:rPr>
          <w:rFonts w:ascii="Times New Roman" w:hAnsi="Times New Roman"/>
          <w:b/>
          <w:bCs/>
          <w:color w:val="000000"/>
          <w:sz w:val="20"/>
          <w:lang w:val="en-US" w:eastAsia="zh-CN"/>
        </w:rPr>
        <w:t>3  DL</w:t>
      </w:r>
      <w:proofErr w:type="gramEnd"/>
      <w:r w:rsidRPr="00A051F0">
        <w:rPr>
          <w:rFonts w:ascii="Times New Roman" w:hAnsi="Times New Roman"/>
          <w:b/>
          <w:bCs/>
          <w:color w:val="000000"/>
          <w:sz w:val="20"/>
          <w:lang w:val="en-US" w:eastAsia="zh-CN"/>
        </w:rPr>
        <w:t xml:space="preserve"> control channel and procedure</w:t>
      </w:r>
    </w:p>
    <w:p w14:paraId="5FE09891" w14:textId="0DC0809D" w:rsidR="00AD5DD7" w:rsidRPr="00101EB9" w:rsidRDefault="00AD5DD7" w:rsidP="00AD5DD7">
      <w:pPr>
        <w:rPr>
          <w:color w:val="000000"/>
          <w:sz w:val="20"/>
          <w:szCs w:val="20"/>
        </w:rPr>
      </w:pPr>
      <w:r w:rsidRPr="00101EB9">
        <w:rPr>
          <w:color w:val="000000"/>
          <w:sz w:val="20"/>
          <w:szCs w:val="20"/>
        </w:rPr>
        <w:t xml:space="preserve">This FG governs the basic DL control channel and is mandatory without capability </w:t>
      </w:r>
      <w:proofErr w:type="spellStart"/>
      <w:r w:rsidRPr="00101EB9">
        <w:rPr>
          <w:color w:val="000000"/>
          <w:sz w:val="20"/>
          <w:szCs w:val="20"/>
        </w:rPr>
        <w:t>signalling</w:t>
      </w:r>
      <w:proofErr w:type="spellEnd"/>
      <w:r w:rsidRPr="00101EB9">
        <w:rPr>
          <w:color w:val="000000"/>
          <w:sz w:val="20"/>
          <w:szCs w:val="20"/>
        </w:rPr>
        <w:t xml:space="preserve">. It is mandatory without capability signaling and specifies PDCCH monitoring per slot. In RAN1, there is a current discussion on enabling multi-slot PDCCH monitoring to reduce the complexity associated with this procedure. As at now, there is no agreement on whether single slot monitoring will be supported. As such, extending the FR2 to cover this band may result in a need to fundamentally change this FG which has been applicable for both Rel 15 and </w:t>
      </w:r>
      <w:proofErr w:type="spellStart"/>
      <w:r w:rsidRPr="00101EB9">
        <w:rPr>
          <w:color w:val="000000"/>
          <w:sz w:val="20"/>
          <w:szCs w:val="20"/>
        </w:rPr>
        <w:t>REl</w:t>
      </w:r>
      <w:proofErr w:type="spellEnd"/>
      <w:r w:rsidRPr="00101EB9">
        <w:rPr>
          <w:color w:val="000000"/>
          <w:sz w:val="20"/>
          <w:szCs w:val="20"/>
        </w:rPr>
        <w:t xml:space="preserve"> 16 till date. </w:t>
      </w:r>
    </w:p>
    <w:p w14:paraId="0BCCAB0F" w14:textId="77777777" w:rsidR="00AD5DD7" w:rsidRDefault="00AD5DD7" w:rsidP="00A76978">
      <w:pPr>
        <w:rPr>
          <w:color w:val="000000"/>
          <w:sz w:val="20"/>
          <w:szCs w:val="20"/>
        </w:rPr>
      </w:pPr>
    </w:p>
    <w:p w14:paraId="2821F8DE" w14:textId="3A551944" w:rsidR="001D3883" w:rsidRPr="00A051F0" w:rsidRDefault="001D3883" w:rsidP="00A76978">
      <w:pPr>
        <w:rPr>
          <w:b/>
          <w:bCs/>
          <w:color w:val="000000"/>
          <w:sz w:val="20"/>
          <w:szCs w:val="20"/>
        </w:rPr>
      </w:pPr>
    </w:p>
    <w:p w14:paraId="6DB71D84" w14:textId="0A1C8B1E" w:rsidR="001D3883" w:rsidRPr="00A051F0" w:rsidRDefault="00AD5DD7" w:rsidP="00A051F0">
      <w:pPr>
        <w:pStyle w:val="ListParagraph"/>
        <w:numPr>
          <w:ilvl w:val="0"/>
          <w:numId w:val="19"/>
        </w:numPr>
        <w:rPr>
          <w:b/>
          <w:bCs/>
          <w:color w:val="000000"/>
          <w:sz w:val="20"/>
          <w:szCs w:val="20"/>
        </w:rPr>
      </w:pPr>
      <w:r w:rsidRPr="00A051F0">
        <w:rPr>
          <w:b/>
          <w:bCs/>
          <w:color w:val="000000"/>
          <w:sz w:val="20"/>
          <w:szCs w:val="20"/>
        </w:rPr>
        <w:t>FG 5 Scheduling/HARQ operation</w:t>
      </w:r>
    </w:p>
    <w:p w14:paraId="0411BC8B" w14:textId="5049E335" w:rsidR="00AD5DD7" w:rsidRDefault="00AD5DD7" w:rsidP="00A76978">
      <w:pPr>
        <w:rPr>
          <w:color w:val="000000"/>
          <w:sz w:val="20"/>
          <w:szCs w:val="20"/>
        </w:rPr>
      </w:pPr>
    </w:p>
    <w:p w14:paraId="3D9E5187" w14:textId="0C51556D" w:rsidR="00101EB9" w:rsidRDefault="00101EB9" w:rsidP="00A76978">
      <w:pPr>
        <w:rPr>
          <w:color w:val="000000"/>
          <w:sz w:val="20"/>
          <w:szCs w:val="20"/>
        </w:rPr>
      </w:pPr>
      <w:r>
        <w:rPr>
          <w:color w:val="000000"/>
          <w:sz w:val="20"/>
          <w:szCs w:val="20"/>
        </w:rPr>
        <w:t xml:space="preserve">This feature group governs basic scheduling/HARQ operation and is mandatory without capability signaling. It specifies the TDRA, FDRA, number of unicast PDSCHs per slot, mapping types and number of HARQ processes amongst other things. As multi-PDSCH transmission with a single DCI is being specified for the 60 GHz design, and up to 32 HARQ processes are being considered, it is unclear whether a directed extension of FR2 to the 60 GHz band is feasible. </w:t>
      </w:r>
    </w:p>
    <w:p w14:paraId="2746EBA6" w14:textId="77777777" w:rsidR="00D87497" w:rsidRDefault="00D87497" w:rsidP="00A76978">
      <w:pPr>
        <w:rPr>
          <w:color w:val="000000"/>
          <w:sz w:val="20"/>
          <w:szCs w:val="20"/>
        </w:rPr>
      </w:pPr>
    </w:p>
    <w:p w14:paraId="5878B7F5" w14:textId="0BD51A07" w:rsidR="00D87497" w:rsidRPr="009E4AB1" w:rsidRDefault="00D87497" w:rsidP="00D87497">
      <w:pPr>
        <w:pStyle w:val="ListParagraph"/>
        <w:numPr>
          <w:ilvl w:val="0"/>
          <w:numId w:val="19"/>
        </w:numPr>
        <w:rPr>
          <w:b/>
          <w:bCs/>
          <w:color w:val="000000"/>
          <w:sz w:val="20"/>
          <w:szCs w:val="20"/>
        </w:rPr>
      </w:pPr>
      <w:r>
        <w:rPr>
          <w:b/>
          <w:bCs/>
          <w:color w:val="000000"/>
          <w:sz w:val="20"/>
          <w:szCs w:val="20"/>
        </w:rPr>
        <w:t>FR1/FR2 differentiation and Channel Access</w:t>
      </w:r>
    </w:p>
    <w:p w14:paraId="6F2779D3" w14:textId="78821757" w:rsidR="00AD5DD7" w:rsidRDefault="00AD5DD7" w:rsidP="00A76978">
      <w:pPr>
        <w:rPr>
          <w:color w:val="000000"/>
          <w:sz w:val="20"/>
          <w:szCs w:val="20"/>
        </w:rPr>
      </w:pPr>
    </w:p>
    <w:p w14:paraId="7010A0D3" w14:textId="7A6E07DA" w:rsidR="009125EF" w:rsidRDefault="00D87497" w:rsidP="009125EF">
      <w:pPr>
        <w:rPr>
          <w:color w:val="000000"/>
          <w:sz w:val="20"/>
          <w:szCs w:val="20"/>
        </w:rPr>
      </w:pPr>
      <w:r>
        <w:rPr>
          <w:color w:val="000000"/>
          <w:sz w:val="20"/>
          <w:szCs w:val="20"/>
        </w:rPr>
        <w:t>In both Rel</w:t>
      </w:r>
      <w:r w:rsidR="009125EF">
        <w:rPr>
          <w:color w:val="000000"/>
          <w:sz w:val="20"/>
          <w:szCs w:val="20"/>
        </w:rPr>
        <w:t>-</w:t>
      </w:r>
      <w:r>
        <w:rPr>
          <w:color w:val="000000"/>
          <w:sz w:val="20"/>
          <w:szCs w:val="20"/>
        </w:rPr>
        <w:t xml:space="preserve">15 and Rel-16, there was a lot of discussion on FR1 and FR2 differentiation. The decisions did not consider operation in NR above 52.6 GHz. </w:t>
      </w:r>
      <w:r w:rsidR="009125EF">
        <w:rPr>
          <w:color w:val="000000"/>
          <w:sz w:val="20"/>
          <w:szCs w:val="20"/>
        </w:rPr>
        <w:t>A non-exhaustive list of Rel-15 FGs with FR1/FR2 differentiation includes FG 2-3 (</w:t>
      </w:r>
      <w:r w:rsidR="009125EF" w:rsidRPr="009125EF">
        <w:rPr>
          <w:color w:val="000000"/>
          <w:sz w:val="20"/>
          <w:szCs w:val="20"/>
        </w:rPr>
        <w:t>PDSCH MIMO layer</w:t>
      </w:r>
      <w:r w:rsidR="009125EF">
        <w:rPr>
          <w:color w:val="000000"/>
          <w:sz w:val="20"/>
          <w:szCs w:val="20"/>
        </w:rPr>
        <w:t xml:space="preserve">), FG 2-51 TRS operation) and </w:t>
      </w:r>
      <w:r w:rsidR="009125EF" w:rsidRPr="009125EF">
        <w:rPr>
          <w:color w:val="000000"/>
          <w:sz w:val="20"/>
          <w:szCs w:val="20"/>
        </w:rPr>
        <w:t>FG</w:t>
      </w:r>
      <w:r w:rsidR="009125EF">
        <w:rPr>
          <w:color w:val="000000"/>
          <w:sz w:val="20"/>
          <w:szCs w:val="20"/>
        </w:rPr>
        <w:t xml:space="preserve">s </w:t>
      </w:r>
      <w:r w:rsidR="009125EF" w:rsidRPr="009125EF">
        <w:rPr>
          <w:color w:val="000000"/>
          <w:sz w:val="20"/>
          <w:szCs w:val="20"/>
        </w:rPr>
        <w:t>6-7/8/9/9a</w:t>
      </w:r>
      <w:r w:rsidR="009125EF">
        <w:rPr>
          <w:color w:val="000000"/>
          <w:sz w:val="20"/>
          <w:szCs w:val="20"/>
        </w:rPr>
        <w:t xml:space="preserve"> (</w:t>
      </w:r>
      <w:r w:rsidR="009125EF" w:rsidRPr="009125EF">
        <w:rPr>
          <w:color w:val="000000"/>
          <w:sz w:val="20"/>
          <w:szCs w:val="20"/>
        </w:rPr>
        <w:t>PUCCH group related</w:t>
      </w:r>
      <w:r w:rsidR="009125EF">
        <w:rPr>
          <w:color w:val="000000"/>
          <w:sz w:val="20"/>
          <w:szCs w:val="20"/>
        </w:rPr>
        <w:t xml:space="preserve">) and for Rel-16, </w:t>
      </w:r>
      <w:r w:rsidR="009125EF" w:rsidRPr="009125EF">
        <w:rPr>
          <w:color w:val="000000"/>
          <w:sz w:val="20"/>
          <w:szCs w:val="20"/>
        </w:rPr>
        <w:t>FG16-1g/FG1-1g-</w:t>
      </w:r>
      <w:r w:rsidR="009125EF">
        <w:rPr>
          <w:color w:val="000000"/>
          <w:sz w:val="20"/>
          <w:szCs w:val="20"/>
        </w:rPr>
        <w:t xml:space="preserve"> (</w:t>
      </w:r>
      <w:r w:rsidR="009125EF" w:rsidRPr="009125EF">
        <w:rPr>
          <w:color w:val="000000"/>
          <w:sz w:val="20"/>
          <w:szCs w:val="20"/>
        </w:rPr>
        <w:t>BM related UE capability</w:t>
      </w:r>
      <w:r w:rsidR="009125EF">
        <w:rPr>
          <w:color w:val="000000"/>
          <w:sz w:val="20"/>
          <w:szCs w:val="20"/>
        </w:rPr>
        <w:t xml:space="preserve">), </w:t>
      </w:r>
      <w:r w:rsidR="009125EF" w:rsidRPr="009125EF">
        <w:rPr>
          <w:color w:val="000000"/>
          <w:sz w:val="20"/>
          <w:szCs w:val="20"/>
        </w:rPr>
        <w:t xml:space="preserve">FG11-9 </w:t>
      </w:r>
      <w:r w:rsidR="009125EF">
        <w:rPr>
          <w:color w:val="000000"/>
          <w:sz w:val="20"/>
          <w:szCs w:val="20"/>
        </w:rPr>
        <w:t>(</w:t>
      </w:r>
      <w:r w:rsidR="009125EF" w:rsidRPr="009125EF">
        <w:rPr>
          <w:color w:val="000000"/>
          <w:sz w:val="20"/>
          <w:szCs w:val="20"/>
        </w:rPr>
        <w:t>CG limitation for URLLC</w:t>
      </w:r>
      <w:r w:rsidR="009125EF">
        <w:rPr>
          <w:color w:val="000000"/>
          <w:sz w:val="20"/>
          <w:szCs w:val="20"/>
        </w:rPr>
        <w:t xml:space="preserve">) and </w:t>
      </w:r>
      <w:r w:rsidR="009125EF" w:rsidRPr="009125EF">
        <w:rPr>
          <w:color w:val="000000"/>
          <w:sz w:val="20"/>
          <w:szCs w:val="20"/>
        </w:rPr>
        <w:t>FG19-1</w:t>
      </w:r>
      <w:r w:rsidR="009125EF">
        <w:rPr>
          <w:color w:val="000000"/>
          <w:sz w:val="20"/>
          <w:szCs w:val="20"/>
        </w:rPr>
        <w:t xml:space="preserve"> (</w:t>
      </w:r>
      <w:r w:rsidR="009125EF" w:rsidRPr="009125EF">
        <w:rPr>
          <w:color w:val="000000"/>
          <w:sz w:val="20"/>
          <w:szCs w:val="20"/>
        </w:rPr>
        <w:t>DRX adaptation</w:t>
      </w:r>
      <w:r w:rsidR="009125EF">
        <w:rPr>
          <w:color w:val="000000"/>
          <w:sz w:val="20"/>
          <w:szCs w:val="20"/>
        </w:rPr>
        <w:t xml:space="preserve">). Thus, </w:t>
      </w:r>
      <w:proofErr w:type="gramStart"/>
      <w:r w:rsidR="009125EF">
        <w:rPr>
          <w:color w:val="000000"/>
          <w:sz w:val="20"/>
          <w:szCs w:val="20"/>
        </w:rPr>
        <w:t>for  all</w:t>
      </w:r>
      <w:proofErr w:type="gramEnd"/>
      <w:r w:rsidR="009125EF">
        <w:rPr>
          <w:color w:val="000000"/>
          <w:sz w:val="20"/>
          <w:szCs w:val="20"/>
        </w:rPr>
        <w:t xml:space="preserve"> the FGs in which the FR1/FR2 differentiation column is set to “Yes”, there may be an ambiguity and a risk that we may not be able to differentiate between FR2 and the new 60 GHz design.</w:t>
      </w:r>
    </w:p>
    <w:p w14:paraId="1CDE382F" w14:textId="77777777" w:rsidR="009125EF" w:rsidRPr="009125EF" w:rsidRDefault="009125EF" w:rsidP="009125EF">
      <w:pPr>
        <w:rPr>
          <w:color w:val="000000"/>
          <w:sz w:val="20"/>
          <w:szCs w:val="20"/>
        </w:rPr>
      </w:pPr>
    </w:p>
    <w:p w14:paraId="31C66D5A" w14:textId="48F6BC75" w:rsidR="00D87497" w:rsidRDefault="00D87497" w:rsidP="00A76978">
      <w:pPr>
        <w:rPr>
          <w:color w:val="000000"/>
          <w:sz w:val="20"/>
          <w:szCs w:val="20"/>
        </w:rPr>
      </w:pPr>
      <w:r>
        <w:rPr>
          <w:color w:val="000000"/>
          <w:sz w:val="20"/>
          <w:szCs w:val="20"/>
        </w:rPr>
        <w:t xml:space="preserve">Secondly, the current specification assumes only FR2 licensed TDD (unpaired) spectrum. However, a major component of channel access above 52.6 GHz is unlicensed.   </w:t>
      </w:r>
    </w:p>
    <w:p w14:paraId="3FD58DCF" w14:textId="77777777" w:rsidR="00D87497" w:rsidRDefault="00D87497" w:rsidP="00A76978">
      <w:pPr>
        <w:rPr>
          <w:color w:val="000000"/>
          <w:sz w:val="20"/>
          <w:szCs w:val="20"/>
        </w:rPr>
      </w:pPr>
    </w:p>
    <w:p w14:paraId="34C0F8D7" w14:textId="71F9BC3C" w:rsidR="00A051F0" w:rsidRPr="009E4AB1" w:rsidRDefault="00CB51CC" w:rsidP="00A051F0">
      <w:pPr>
        <w:pStyle w:val="ListParagraph"/>
        <w:numPr>
          <w:ilvl w:val="0"/>
          <w:numId w:val="19"/>
        </w:numPr>
        <w:rPr>
          <w:b/>
          <w:bCs/>
          <w:color w:val="000000"/>
          <w:sz w:val="20"/>
          <w:szCs w:val="20"/>
        </w:rPr>
      </w:pPr>
      <w:r>
        <w:rPr>
          <w:b/>
          <w:bCs/>
          <w:color w:val="000000"/>
          <w:sz w:val="20"/>
          <w:szCs w:val="20"/>
        </w:rPr>
        <w:t>Specification Impact</w:t>
      </w:r>
    </w:p>
    <w:p w14:paraId="4B2DC50A" w14:textId="77777777" w:rsidR="001D3883" w:rsidRPr="00A76978" w:rsidRDefault="001D3883" w:rsidP="00A76978">
      <w:pPr>
        <w:rPr>
          <w:color w:val="000000"/>
          <w:sz w:val="20"/>
          <w:szCs w:val="20"/>
        </w:rPr>
      </w:pPr>
    </w:p>
    <w:p w14:paraId="6AE75ED6" w14:textId="15CE934C" w:rsidR="009C47B5" w:rsidRDefault="00A051F0" w:rsidP="005273BE">
      <w:pPr>
        <w:rPr>
          <w:color w:val="000000"/>
          <w:sz w:val="20"/>
          <w:szCs w:val="20"/>
        </w:rPr>
      </w:pPr>
      <w:r>
        <w:rPr>
          <w:color w:val="000000"/>
          <w:sz w:val="20"/>
          <w:szCs w:val="20"/>
        </w:rPr>
        <w:t xml:space="preserve">In addition to the Layer 1 UE features, there are some references to FR2 in 38.211 and 38.213 that have hardcoded parameters that may need to be modified to account for the new band in the case that FR2 is extended to cover this band. </w:t>
      </w:r>
      <w:r w:rsidR="009E4AB1">
        <w:rPr>
          <w:color w:val="000000"/>
          <w:sz w:val="20"/>
          <w:szCs w:val="20"/>
        </w:rPr>
        <w:t>In the following, we refer to just a few of them:</w:t>
      </w:r>
    </w:p>
    <w:p w14:paraId="36569420" w14:textId="77777777" w:rsidR="00A051F0" w:rsidRDefault="00A051F0" w:rsidP="00A051F0">
      <w:pPr>
        <w:rPr>
          <w:color w:val="000000"/>
          <w:sz w:val="20"/>
          <w:szCs w:val="20"/>
        </w:rPr>
      </w:pPr>
    </w:p>
    <w:p w14:paraId="45B7B9C9" w14:textId="57ADC0BF" w:rsidR="00A051F0" w:rsidRPr="009E4AB1" w:rsidRDefault="00A051F0" w:rsidP="009E4AB1">
      <w:pPr>
        <w:pStyle w:val="ListParagraph"/>
        <w:numPr>
          <w:ilvl w:val="0"/>
          <w:numId w:val="19"/>
        </w:numPr>
        <w:rPr>
          <w:color w:val="000000"/>
          <w:sz w:val="20"/>
          <w:szCs w:val="20"/>
        </w:rPr>
      </w:pPr>
      <w:r w:rsidRPr="009E4AB1">
        <w:rPr>
          <w:color w:val="000000"/>
          <w:sz w:val="20"/>
          <w:szCs w:val="20"/>
        </w:rPr>
        <w:t>In section 4.4.4.2 of 38.211 that defines Point A, the offset is expressed in units of resource blocks assuming 15 kHz subcarrier spacing for FR1 and 60 kHz subcarrier spacing for FR2. This will need to be adjusted.</w:t>
      </w:r>
    </w:p>
    <w:p w14:paraId="3FC837BA" w14:textId="7F0EBA53" w:rsidR="00A051F0" w:rsidRDefault="00A051F0" w:rsidP="00A051F0">
      <w:pPr>
        <w:rPr>
          <w:color w:val="000000"/>
          <w:sz w:val="20"/>
          <w:szCs w:val="20"/>
        </w:rPr>
      </w:pPr>
    </w:p>
    <w:p w14:paraId="730F0799" w14:textId="47F5A2C0" w:rsidR="00A051F0" w:rsidRPr="009E4AB1" w:rsidRDefault="00A051F0" w:rsidP="009E4AB1">
      <w:pPr>
        <w:pStyle w:val="ListParagraph"/>
        <w:numPr>
          <w:ilvl w:val="0"/>
          <w:numId w:val="19"/>
        </w:numPr>
        <w:rPr>
          <w:color w:val="000000"/>
          <w:sz w:val="20"/>
          <w:szCs w:val="20"/>
        </w:rPr>
      </w:pPr>
      <w:r w:rsidRPr="009E4AB1">
        <w:rPr>
          <w:color w:val="000000"/>
          <w:sz w:val="20"/>
          <w:szCs w:val="20"/>
        </w:rPr>
        <w:t xml:space="preserve">In Section 4.3.2 </w:t>
      </w:r>
      <w:r w:rsidR="00D87497" w:rsidRPr="009E4AB1">
        <w:rPr>
          <w:color w:val="000000"/>
          <w:sz w:val="20"/>
          <w:szCs w:val="20"/>
        </w:rPr>
        <w:t xml:space="preserve">of 38.211 </w:t>
      </w:r>
      <w:r w:rsidRPr="009E4AB1">
        <w:rPr>
          <w:color w:val="000000"/>
          <w:sz w:val="20"/>
          <w:szCs w:val="20"/>
        </w:rPr>
        <w:t>that defines the slots, a transition time (</w:t>
      </w:r>
      <w:proofErr w:type="spellStart"/>
      <w:r w:rsidRPr="009E4AB1">
        <w:rPr>
          <w:color w:val="000000"/>
          <w:sz w:val="20"/>
          <w:szCs w:val="20"/>
        </w:rPr>
        <w:t>NRx</w:t>
      </w:r>
      <w:proofErr w:type="spellEnd"/>
      <w:r w:rsidRPr="009E4AB1">
        <w:rPr>
          <w:color w:val="000000"/>
          <w:sz w:val="20"/>
          <w:szCs w:val="20"/>
        </w:rPr>
        <w:t xml:space="preserve">-Tx and </w:t>
      </w:r>
      <w:proofErr w:type="spellStart"/>
      <w:r w:rsidRPr="009E4AB1">
        <w:rPr>
          <w:color w:val="000000"/>
          <w:sz w:val="20"/>
          <w:szCs w:val="20"/>
        </w:rPr>
        <w:t>NTx</w:t>
      </w:r>
      <w:proofErr w:type="spellEnd"/>
      <w:r w:rsidRPr="009E4AB1">
        <w:rPr>
          <w:color w:val="000000"/>
          <w:sz w:val="20"/>
          <w:szCs w:val="20"/>
        </w:rPr>
        <w:t>-Rx) is defined with a specific time for FR2. This also may need to be adjusted given the change in slot duration.</w:t>
      </w:r>
    </w:p>
    <w:p w14:paraId="53A08D00" w14:textId="514E1204" w:rsidR="00A051F0" w:rsidRDefault="00A051F0" w:rsidP="00A051F0">
      <w:pPr>
        <w:rPr>
          <w:color w:val="000000"/>
          <w:sz w:val="20"/>
          <w:szCs w:val="20"/>
        </w:rPr>
      </w:pPr>
    </w:p>
    <w:p w14:paraId="3B15F533" w14:textId="5AB4A5A9" w:rsidR="00A051F0" w:rsidRPr="009E4AB1" w:rsidRDefault="00A051F0" w:rsidP="009E4AB1">
      <w:pPr>
        <w:pStyle w:val="ListParagraph"/>
        <w:numPr>
          <w:ilvl w:val="0"/>
          <w:numId w:val="19"/>
        </w:numPr>
        <w:rPr>
          <w:color w:val="000000"/>
          <w:sz w:val="20"/>
          <w:szCs w:val="20"/>
        </w:rPr>
      </w:pPr>
      <w:r w:rsidRPr="009E4AB1">
        <w:rPr>
          <w:color w:val="000000"/>
          <w:sz w:val="20"/>
          <w:szCs w:val="20"/>
        </w:rPr>
        <w:t xml:space="preserve">In Section 6.3.3.2, </w:t>
      </w:r>
      <w:r w:rsidR="00D87497" w:rsidRPr="009E4AB1">
        <w:rPr>
          <w:color w:val="000000"/>
          <w:sz w:val="20"/>
          <w:szCs w:val="20"/>
        </w:rPr>
        <w:t xml:space="preserve">of 38.211 </w:t>
      </w:r>
      <w:r w:rsidRPr="009E4AB1">
        <w:rPr>
          <w:color w:val="000000"/>
          <w:sz w:val="20"/>
          <w:szCs w:val="20"/>
        </w:rPr>
        <w:t>there are random access configurations specified for FR2 and unpaired spectrum in Table 6.3.3.2-4. Additional tables may need to be defined for the new band that differ from the existing parameters.</w:t>
      </w:r>
    </w:p>
    <w:p w14:paraId="44BDE87E" w14:textId="448CFAB2" w:rsidR="00A051F0" w:rsidRDefault="00A051F0" w:rsidP="00A051F0">
      <w:pPr>
        <w:rPr>
          <w:color w:val="000000"/>
          <w:sz w:val="20"/>
          <w:szCs w:val="20"/>
        </w:rPr>
      </w:pPr>
    </w:p>
    <w:p w14:paraId="5F5EAF3A" w14:textId="3A02FA26" w:rsidR="009E4AB1" w:rsidRPr="00D87497" w:rsidRDefault="00A051F0" w:rsidP="00206B65">
      <w:pPr>
        <w:pStyle w:val="ListParagraph"/>
        <w:numPr>
          <w:ilvl w:val="0"/>
          <w:numId w:val="19"/>
        </w:numPr>
        <w:rPr>
          <w:color w:val="000000"/>
          <w:sz w:val="20"/>
          <w:szCs w:val="20"/>
        </w:rPr>
      </w:pPr>
      <w:r w:rsidRPr="00D87497">
        <w:rPr>
          <w:color w:val="000000"/>
          <w:sz w:val="20"/>
          <w:szCs w:val="20"/>
        </w:rPr>
        <w:t>In Section 4.1 of</w:t>
      </w:r>
      <w:r w:rsidR="00D87497" w:rsidRPr="00D87497">
        <w:rPr>
          <w:color w:val="000000"/>
          <w:sz w:val="20"/>
          <w:szCs w:val="20"/>
        </w:rPr>
        <w:t xml:space="preserve"> </w:t>
      </w:r>
      <w:r w:rsidRPr="00D87497">
        <w:rPr>
          <w:color w:val="000000"/>
          <w:sz w:val="20"/>
          <w:szCs w:val="20"/>
        </w:rPr>
        <w:t>38.213 that defines cell search</w:t>
      </w:r>
      <w:r w:rsidR="009E4AB1" w:rsidRPr="00D87497">
        <w:rPr>
          <w:color w:val="000000"/>
          <w:sz w:val="20"/>
          <w:szCs w:val="20"/>
        </w:rPr>
        <w:t>, patterns have been defined specifically for FR2. Given that additional SCSs and patterns are under discussion that may differ greatly from the existing FR2 patterns, a simple band extension may require multiple changes to the existing FR2 specification.</w:t>
      </w:r>
    </w:p>
    <w:p w14:paraId="06F0FF62" w14:textId="4E7528EC" w:rsidR="00A051F0" w:rsidRDefault="00A051F0" w:rsidP="00A051F0">
      <w:pPr>
        <w:rPr>
          <w:color w:val="000000"/>
          <w:sz w:val="20"/>
          <w:szCs w:val="20"/>
        </w:rPr>
      </w:pPr>
    </w:p>
    <w:p w14:paraId="7FAFD24D" w14:textId="350B4F41" w:rsidR="009E4AB1" w:rsidRPr="009E4AB1" w:rsidRDefault="009E4AB1" w:rsidP="009E4AB1">
      <w:pPr>
        <w:pStyle w:val="ListParagraph"/>
        <w:numPr>
          <w:ilvl w:val="0"/>
          <w:numId w:val="19"/>
        </w:numPr>
        <w:rPr>
          <w:color w:val="000000"/>
          <w:sz w:val="20"/>
          <w:szCs w:val="20"/>
        </w:rPr>
      </w:pPr>
      <w:r w:rsidRPr="009E4AB1">
        <w:rPr>
          <w:color w:val="000000"/>
          <w:sz w:val="20"/>
          <w:szCs w:val="20"/>
        </w:rPr>
        <w:t xml:space="preserve">In section 12 </w:t>
      </w:r>
      <w:r w:rsidR="00D87497">
        <w:rPr>
          <w:color w:val="000000"/>
          <w:sz w:val="20"/>
          <w:szCs w:val="20"/>
        </w:rPr>
        <w:t xml:space="preserve">of 38.213 </w:t>
      </w:r>
      <w:r w:rsidRPr="009E4AB1">
        <w:rPr>
          <w:color w:val="000000"/>
          <w:sz w:val="20"/>
          <w:szCs w:val="20"/>
        </w:rPr>
        <w:t>on Bandwidth Part Operation, FR2 operation is defined based on a half a subframe duration. Given that there may be a substantial change in this duration for higher sub-carrier spacings, there may be a need to revisit this number during the 60 GHz design. This would also prevent a simple extension.</w:t>
      </w:r>
    </w:p>
    <w:p w14:paraId="6D0B98DE" w14:textId="77777777" w:rsidR="009E4AB1" w:rsidRPr="00A051F0" w:rsidRDefault="009E4AB1" w:rsidP="00A051F0">
      <w:pPr>
        <w:rPr>
          <w:color w:val="000000"/>
          <w:sz w:val="20"/>
          <w:szCs w:val="20"/>
        </w:rPr>
      </w:pPr>
    </w:p>
    <w:p w14:paraId="7AF964BB" w14:textId="345F264B" w:rsidR="00A051F0" w:rsidRDefault="00A051F0" w:rsidP="005273BE">
      <w:pPr>
        <w:rPr>
          <w:color w:val="000000"/>
          <w:sz w:val="20"/>
          <w:szCs w:val="20"/>
        </w:rPr>
      </w:pPr>
    </w:p>
    <w:p w14:paraId="4207AE37" w14:textId="3A0C36E7" w:rsidR="001D3883" w:rsidRDefault="009E4AB1" w:rsidP="005273BE">
      <w:pPr>
        <w:rPr>
          <w:color w:val="000000"/>
          <w:sz w:val="20"/>
          <w:szCs w:val="20"/>
        </w:rPr>
      </w:pPr>
      <w:r>
        <w:rPr>
          <w:color w:val="000000"/>
          <w:sz w:val="20"/>
          <w:szCs w:val="20"/>
        </w:rPr>
        <w:t xml:space="preserve">In summary, based on both the Layer 1 UE features and the RAN1 NR specification, we see that a simple extension of FR2 to the new band may need to careful consideration before making any decisions.  </w:t>
      </w:r>
    </w:p>
    <w:p w14:paraId="68C022D4" w14:textId="77777777" w:rsidR="001D3883" w:rsidRPr="00A76978" w:rsidRDefault="001D3883" w:rsidP="005273BE">
      <w:pPr>
        <w:rPr>
          <w:color w:val="000000"/>
          <w:sz w:val="20"/>
          <w:szCs w:val="20"/>
        </w:rPr>
      </w:pPr>
    </w:p>
    <w:p w14:paraId="5BA4D6B3" w14:textId="14B75085" w:rsidR="00C34DDA" w:rsidRDefault="00C34DDA" w:rsidP="00C34DDA">
      <w:pPr>
        <w:pStyle w:val="Heading2"/>
      </w:pPr>
      <w:r>
        <w:t xml:space="preserve">2.5 Consideration from RAN2 perspective </w:t>
      </w:r>
    </w:p>
    <w:p w14:paraId="6732F07E" w14:textId="1836EEC5" w:rsidR="00723A44" w:rsidRDefault="00723A44" w:rsidP="00A76978">
      <w:pPr>
        <w:rPr>
          <w:color w:val="000000"/>
          <w:sz w:val="20"/>
          <w:szCs w:val="20"/>
        </w:rPr>
      </w:pPr>
      <w:r w:rsidRPr="00384F83">
        <w:rPr>
          <w:color w:val="000000"/>
          <w:sz w:val="20"/>
          <w:szCs w:val="20"/>
        </w:rPr>
        <w:t xml:space="preserve">RAN2 has structured the NR specification in terms of FR-agnostic, FR1 specific, and FR2 specific parts for certain aspects of UE configuration and UE capability signaling. This has been primarily driven out of the requirements of RAN1/RAN2 L1 parameter and UE feature lists.  </w:t>
      </w:r>
    </w:p>
    <w:p w14:paraId="0E72C97F" w14:textId="64A8BD04" w:rsidR="00723A44" w:rsidRDefault="00723A44" w:rsidP="00A76978">
      <w:pPr>
        <w:rPr>
          <w:color w:val="000000"/>
          <w:sz w:val="20"/>
          <w:szCs w:val="20"/>
        </w:rPr>
      </w:pPr>
    </w:p>
    <w:p w14:paraId="38681EEA" w14:textId="24CB23A1" w:rsidR="00723A44" w:rsidRDefault="00723A44" w:rsidP="00A76978">
      <w:pPr>
        <w:rPr>
          <w:color w:val="000000"/>
          <w:sz w:val="20"/>
          <w:szCs w:val="20"/>
        </w:rPr>
      </w:pPr>
      <w:r>
        <w:rPr>
          <w:color w:val="000000"/>
          <w:sz w:val="20"/>
          <w:szCs w:val="20"/>
        </w:rPr>
        <w:t xml:space="preserve">While it might be simpler logically to extend the 60GHz aspects to FR2, it should be possible to also structure the signaling of UE configuration and capability by viewing 60GHz aspects as FR3. As long as the RAN1 and RAN4 requirements for UE configuration and capability signaling do not result in any ambiguities at the </w:t>
      </w:r>
      <w:proofErr w:type="spellStart"/>
      <w:r>
        <w:rPr>
          <w:color w:val="000000"/>
          <w:sz w:val="20"/>
          <w:szCs w:val="20"/>
        </w:rPr>
        <w:t>gNB</w:t>
      </w:r>
      <w:proofErr w:type="spellEnd"/>
      <w:r>
        <w:rPr>
          <w:color w:val="000000"/>
          <w:sz w:val="20"/>
          <w:szCs w:val="20"/>
        </w:rPr>
        <w:t>/UE in terms of applicability/capability across different 60GHz and the current FR2/FR1 aspects, especially in the handling of measurement gap configuration/capabilities, RAN2 specifications should be able to follow the outcome of RAN1/RAN4 agreements.</w:t>
      </w:r>
    </w:p>
    <w:p w14:paraId="2022B06E" w14:textId="77777777" w:rsidR="00723A44" w:rsidRPr="00384F83" w:rsidRDefault="00723A44" w:rsidP="00A76978">
      <w:pPr>
        <w:rPr>
          <w:color w:val="000000"/>
          <w:sz w:val="20"/>
          <w:szCs w:val="20"/>
        </w:rPr>
      </w:pPr>
    </w:p>
    <w:p w14:paraId="4F9D3BB1" w14:textId="77777777" w:rsidR="00B211C1" w:rsidRDefault="00B211C1" w:rsidP="00A76978">
      <w:pPr>
        <w:rPr>
          <w:color w:val="000000"/>
          <w:sz w:val="20"/>
          <w:szCs w:val="20"/>
        </w:rPr>
      </w:pPr>
    </w:p>
    <w:p w14:paraId="703BDEE5" w14:textId="77777777" w:rsidR="00B211C1" w:rsidRDefault="00B211C1" w:rsidP="00A76978">
      <w:pPr>
        <w:rPr>
          <w:color w:val="000000"/>
          <w:sz w:val="20"/>
          <w:szCs w:val="20"/>
        </w:rPr>
      </w:pPr>
    </w:p>
    <w:p w14:paraId="7E29FE6F" w14:textId="4C5E9AF8" w:rsidR="00B211C1" w:rsidRDefault="00B211C1" w:rsidP="00A76978">
      <w:pPr>
        <w:rPr>
          <w:color w:val="000000"/>
          <w:sz w:val="20"/>
          <w:szCs w:val="20"/>
        </w:rPr>
      </w:pPr>
      <w:r>
        <w:rPr>
          <w:color w:val="000000"/>
          <w:sz w:val="20"/>
          <w:szCs w:val="20"/>
        </w:rPr>
        <w:t xml:space="preserve"> </w:t>
      </w:r>
    </w:p>
    <w:p w14:paraId="549977A1" w14:textId="3C5C6756" w:rsidR="00300BA9" w:rsidRPr="00A76978" w:rsidRDefault="00300BA9" w:rsidP="00A76978">
      <w:pPr>
        <w:rPr>
          <w:color w:val="000000"/>
          <w:sz w:val="20"/>
          <w:szCs w:val="20"/>
        </w:rPr>
      </w:pPr>
      <w:r w:rsidRPr="00A76978">
        <w:rPr>
          <w:color w:val="000000"/>
          <w:sz w:val="20"/>
          <w:szCs w:val="20"/>
        </w:rPr>
        <w:t xml:space="preserve">Based on the aforementioned observations, it is proposed </w:t>
      </w:r>
      <w:r w:rsidR="00B211C1">
        <w:rPr>
          <w:color w:val="000000"/>
          <w:sz w:val="20"/>
          <w:szCs w:val="20"/>
        </w:rPr>
        <w:t>to ask</w:t>
      </w:r>
      <w:r w:rsidR="00B211C1" w:rsidRPr="00A76978">
        <w:rPr>
          <w:color w:val="000000"/>
          <w:sz w:val="20"/>
          <w:szCs w:val="20"/>
        </w:rPr>
        <w:t xml:space="preserve"> </w:t>
      </w:r>
      <w:r w:rsidRPr="00A76978">
        <w:rPr>
          <w:color w:val="000000"/>
          <w:sz w:val="20"/>
          <w:szCs w:val="20"/>
        </w:rPr>
        <w:t>WG’s recommendations, especially RAN4</w:t>
      </w:r>
      <w:r w:rsidR="00424397">
        <w:rPr>
          <w:color w:val="000000"/>
          <w:sz w:val="20"/>
          <w:szCs w:val="20"/>
        </w:rPr>
        <w:t xml:space="preserve"> and RAN1</w:t>
      </w:r>
      <w:r w:rsidRPr="00A76978">
        <w:rPr>
          <w:color w:val="000000"/>
          <w:sz w:val="20"/>
          <w:szCs w:val="20"/>
        </w:rPr>
        <w:t>’s, to make such decision in the RAN plenary.</w:t>
      </w:r>
    </w:p>
    <w:p w14:paraId="1E8F4524" w14:textId="724DFB1B" w:rsidR="00300BA9" w:rsidRPr="00300BA9" w:rsidRDefault="00300BA9" w:rsidP="00300BA9">
      <w:pPr>
        <w:spacing w:before="100" w:beforeAutospacing="1" w:after="100"/>
        <w:rPr>
          <w:rFonts w:ascii="Helvetica" w:hAnsi="Helvetica"/>
          <w:i/>
          <w:iCs/>
          <w:sz w:val="18"/>
          <w:szCs w:val="18"/>
        </w:rPr>
      </w:pPr>
      <w:r w:rsidRPr="00300BA9">
        <w:rPr>
          <w:rFonts w:ascii="Helvetica" w:hAnsi="Helvetica"/>
          <w:b/>
          <w:bCs/>
          <w:i/>
          <w:iCs/>
          <w:sz w:val="18"/>
          <w:szCs w:val="18"/>
        </w:rPr>
        <w:t>Proposal</w:t>
      </w:r>
      <w:r w:rsidR="00D857BA">
        <w:rPr>
          <w:rFonts w:ascii="Helvetica" w:hAnsi="Helvetica"/>
          <w:b/>
          <w:bCs/>
          <w:i/>
          <w:iCs/>
          <w:sz w:val="18"/>
          <w:szCs w:val="18"/>
        </w:rPr>
        <w:t xml:space="preserve"> 1</w:t>
      </w:r>
      <w:r w:rsidRPr="00300BA9">
        <w:rPr>
          <w:rFonts w:ascii="Helvetica" w:hAnsi="Helvetica"/>
          <w:b/>
          <w:bCs/>
          <w:i/>
          <w:iCs/>
          <w:sz w:val="18"/>
          <w:szCs w:val="18"/>
        </w:rPr>
        <w:t xml:space="preserve">: </w:t>
      </w:r>
      <w:r w:rsidR="004F6220">
        <w:rPr>
          <w:rFonts w:ascii="Helvetica" w:hAnsi="Helvetica"/>
          <w:b/>
          <w:bCs/>
          <w:i/>
          <w:iCs/>
          <w:sz w:val="18"/>
          <w:szCs w:val="18"/>
        </w:rPr>
        <w:t>WG</w:t>
      </w:r>
      <w:r w:rsidR="004F6220" w:rsidRPr="00300BA9">
        <w:rPr>
          <w:rFonts w:ascii="Helvetica" w:hAnsi="Helvetica"/>
          <w:b/>
          <w:bCs/>
          <w:i/>
          <w:iCs/>
          <w:sz w:val="18"/>
          <w:szCs w:val="18"/>
        </w:rPr>
        <w:t xml:space="preserve"> </w:t>
      </w:r>
      <w:r w:rsidRPr="00300BA9">
        <w:rPr>
          <w:rFonts w:ascii="Helvetica" w:hAnsi="Helvetica"/>
          <w:b/>
          <w:bCs/>
          <w:i/>
          <w:iCs/>
          <w:sz w:val="18"/>
          <w:szCs w:val="18"/>
        </w:rPr>
        <w:t xml:space="preserve">should </w:t>
      </w:r>
      <w:r w:rsidR="000F3400">
        <w:rPr>
          <w:rFonts w:ascii="Helvetica" w:hAnsi="Helvetica"/>
          <w:b/>
          <w:bCs/>
          <w:i/>
          <w:iCs/>
          <w:sz w:val="18"/>
          <w:szCs w:val="18"/>
        </w:rPr>
        <w:t xml:space="preserve">discuss and </w:t>
      </w:r>
      <w:r w:rsidRPr="00300BA9">
        <w:rPr>
          <w:rFonts w:ascii="Helvetica" w:hAnsi="Helvetica"/>
          <w:b/>
          <w:bCs/>
          <w:i/>
          <w:iCs/>
          <w:sz w:val="18"/>
          <w:szCs w:val="18"/>
        </w:rPr>
        <w:t xml:space="preserve">provide recommendations </w:t>
      </w:r>
      <w:r w:rsidR="000F3400">
        <w:rPr>
          <w:rFonts w:ascii="Helvetica" w:hAnsi="Helvetica"/>
          <w:b/>
          <w:bCs/>
          <w:i/>
          <w:iCs/>
          <w:sz w:val="18"/>
          <w:szCs w:val="18"/>
        </w:rPr>
        <w:t>to</w:t>
      </w:r>
      <w:r w:rsidR="000F3400" w:rsidRPr="00300BA9">
        <w:rPr>
          <w:rFonts w:ascii="Helvetica" w:hAnsi="Helvetica"/>
          <w:b/>
          <w:bCs/>
          <w:i/>
          <w:iCs/>
          <w:sz w:val="18"/>
          <w:szCs w:val="18"/>
        </w:rPr>
        <w:t xml:space="preserve"> </w:t>
      </w:r>
      <w:r w:rsidRPr="00300BA9">
        <w:rPr>
          <w:rFonts w:ascii="Helvetica" w:hAnsi="Helvetica"/>
          <w:b/>
          <w:bCs/>
          <w:i/>
          <w:iCs/>
          <w:sz w:val="18"/>
          <w:szCs w:val="18"/>
        </w:rPr>
        <w:t>RAN plenary to make the final decision whether new FR (e.g. FR3) shall be defined for the frequency range from 52.6GHz-71GHz or the existing FR2 shall be extended to cover frequency range from 52.6GHz-71GHz.</w:t>
      </w:r>
    </w:p>
    <w:p w14:paraId="2E0C055E" w14:textId="77777777" w:rsidR="006F71F4" w:rsidRDefault="006F71F4" w:rsidP="00300BA9">
      <w:pPr>
        <w:spacing w:before="100" w:beforeAutospacing="1" w:afterAutospacing="1"/>
        <w:rPr>
          <w:rFonts w:ascii="Helvetica" w:hAnsi="Helvetica"/>
          <w:sz w:val="18"/>
          <w:szCs w:val="18"/>
        </w:rPr>
      </w:pPr>
    </w:p>
    <w:p w14:paraId="795C2DE6" w14:textId="04FC7F2A" w:rsidR="00300BA9" w:rsidRPr="006F71F4" w:rsidRDefault="006F71F4" w:rsidP="006F71F4">
      <w:pPr>
        <w:pStyle w:val="Heading1"/>
      </w:pPr>
      <w:r w:rsidRPr="006F71F4">
        <w:t>3</w:t>
      </w:r>
      <w:r>
        <w:t>.  On support of SSB subcarrier spacing</w:t>
      </w:r>
      <w:r w:rsidR="00300BA9" w:rsidRPr="006F71F4">
        <w:t> </w:t>
      </w:r>
    </w:p>
    <w:p w14:paraId="412E2B6F" w14:textId="77777777" w:rsidR="006F71F4" w:rsidRPr="00384F83" w:rsidRDefault="006F71F4" w:rsidP="006F71F4">
      <w:pPr>
        <w:tabs>
          <w:tab w:val="left" w:pos="450"/>
        </w:tabs>
        <w:spacing w:after="120"/>
        <w:jc w:val="both"/>
        <w:rPr>
          <w:sz w:val="20"/>
          <w:szCs w:val="20"/>
        </w:rPr>
      </w:pPr>
      <w:r w:rsidRPr="00384F83">
        <w:rPr>
          <w:sz w:val="20"/>
          <w:szCs w:val="20"/>
        </w:rPr>
        <w:t xml:space="preserve">In accordance to [1], the SCS candidates for different physical channels are summarized in Table 1 in a simplified form. Note that, 240kHz SCS is not candidate for any other channels except SSB transmission. </w:t>
      </w:r>
    </w:p>
    <w:p w14:paraId="23452342" w14:textId="77777777" w:rsidR="006F71F4" w:rsidRPr="00384F83" w:rsidRDefault="006F71F4" w:rsidP="006F71F4">
      <w:pPr>
        <w:tabs>
          <w:tab w:val="left" w:pos="450"/>
        </w:tabs>
        <w:spacing w:after="120"/>
        <w:jc w:val="both"/>
        <w:rPr>
          <w:sz w:val="20"/>
          <w:szCs w:val="20"/>
        </w:rPr>
      </w:pPr>
    </w:p>
    <w:p w14:paraId="2E665DF7" w14:textId="77777777" w:rsidR="006F71F4" w:rsidRPr="00384F83" w:rsidRDefault="006F71F4" w:rsidP="006F71F4">
      <w:pPr>
        <w:tabs>
          <w:tab w:val="left" w:pos="450"/>
        </w:tabs>
        <w:spacing w:after="120"/>
        <w:ind w:left="1166" w:hanging="1166"/>
        <w:jc w:val="center"/>
        <w:rPr>
          <w:sz w:val="20"/>
          <w:szCs w:val="20"/>
        </w:rPr>
      </w:pPr>
      <w:r w:rsidRPr="00384F83">
        <w:rPr>
          <w:sz w:val="20"/>
          <w:szCs w:val="20"/>
        </w:rPr>
        <w:t>Table 1: Candidate SCS for SSB, other IA signal/channels and Data and Control Channels [1]</w:t>
      </w:r>
    </w:p>
    <w:tbl>
      <w:tblPr>
        <w:tblStyle w:val="TableGrid"/>
        <w:tblW w:w="0" w:type="auto"/>
        <w:jc w:val="center"/>
        <w:tblLook w:val="04A0" w:firstRow="1" w:lastRow="0" w:firstColumn="1" w:lastColumn="0" w:noHBand="0" w:noVBand="1"/>
      </w:tblPr>
      <w:tblGrid>
        <w:gridCol w:w="2880"/>
        <w:gridCol w:w="1338"/>
        <w:gridCol w:w="1543"/>
        <w:gridCol w:w="1543"/>
        <w:gridCol w:w="1543"/>
      </w:tblGrid>
      <w:tr w:rsidR="006F71F4" w:rsidRPr="006F71F4" w14:paraId="33007C02" w14:textId="77777777" w:rsidTr="00E979A7">
        <w:trPr>
          <w:jc w:val="center"/>
        </w:trPr>
        <w:tc>
          <w:tcPr>
            <w:tcW w:w="2880" w:type="dxa"/>
            <w:shd w:val="clear" w:color="auto" w:fill="73FB79"/>
          </w:tcPr>
          <w:p w14:paraId="080B032E" w14:textId="77777777" w:rsidR="006F71F4" w:rsidRPr="006F71F4" w:rsidRDefault="006F71F4" w:rsidP="00E979A7">
            <w:pPr>
              <w:tabs>
                <w:tab w:val="left" w:pos="450"/>
              </w:tabs>
              <w:contextualSpacing/>
              <w:jc w:val="center"/>
              <w:rPr>
                <w:rFonts w:ascii="Arial" w:hAnsi="Arial" w:cs="Arial"/>
                <w:b/>
                <w:bCs/>
                <w:sz w:val="18"/>
                <w:szCs w:val="18"/>
              </w:rPr>
            </w:pPr>
          </w:p>
        </w:tc>
        <w:tc>
          <w:tcPr>
            <w:tcW w:w="1338" w:type="dxa"/>
            <w:shd w:val="clear" w:color="auto" w:fill="73FB79"/>
          </w:tcPr>
          <w:p w14:paraId="2985AA8B"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120KHz</w:t>
            </w:r>
          </w:p>
        </w:tc>
        <w:tc>
          <w:tcPr>
            <w:tcW w:w="1543" w:type="dxa"/>
            <w:shd w:val="clear" w:color="auto" w:fill="73FB79"/>
          </w:tcPr>
          <w:p w14:paraId="07EC5E22"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240KHz</w:t>
            </w:r>
          </w:p>
        </w:tc>
        <w:tc>
          <w:tcPr>
            <w:tcW w:w="1543" w:type="dxa"/>
            <w:shd w:val="clear" w:color="auto" w:fill="73FB79"/>
          </w:tcPr>
          <w:p w14:paraId="11E3E458"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480KHz</w:t>
            </w:r>
          </w:p>
        </w:tc>
        <w:tc>
          <w:tcPr>
            <w:tcW w:w="1543" w:type="dxa"/>
            <w:shd w:val="clear" w:color="auto" w:fill="73FB79"/>
          </w:tcPr>
          <w:p w14:paraId="6EBBBAF7"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960kHz</w:t>
            </w:r>
          </w:p>
        </w:tc>
      </w:tr>
      <w:tr w:rsidR="006F71F4" w:rsidRPr="006F71F4" w14:paraId="68396A0C" w14:textId="77777777" w:rsidTr="00E979A7">
        <w:trPr>
          <w:jc w:val="center"/>
        </w:trPr>
        <w:tc>
          <w:tcPr>
            <w:tcW w:w="2880" w:type="dxa"/>
          </w:tcPr>
          <w:p w14:paraId="34A23052"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SSB</w:t>
            </w:r>
          </w:p>
        </w:tc>
        <w:tc>
          <w:tcPr>
            <w:tcW w:w="1338" w:type="dxa"/>
          </w:tcPr>
          <w:p w14:paraId="4D247A3A"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Wingdings 2" w:hAnsi="Wingdings 2" w:cs="Arial"/>
                <w:b/>
                <w:bCs/>
                <w:sz w:val="18"/>
                <w:szCs w:val="18"/>
              </w:rPr>
              <w:t>Å</w:t>
            </w:r>
          </w:p>
        </w:tc>
        <w:tc>
          <w:tcPr>
            <w:tcW w:w="1543" w:type="dxa"/>
          </w:tcPr>
          <w:p w14:paraId="0B71E501"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c>
          <w:tcPr>
            <w:tcW w:w="1543" w:type="dxa"/>
          </w:tcPr>
          <w:p w14:paraId="2B6B1A5A"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c>
          <w:tcPr>
            <w:tcW w:w="1543" w:type="dxa"/>
          </w:tcPr>
          <w:p w14:paraId="46DEB102"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r>
      <w:tr w:rsidR="006F71F4" w:rsidRPr="006F71F4" w14:paraId="033DD817" w14:textId="77777777" w:rsidTr="00E979A7">
        <w:trPr>
          <w:jc w:val="center"/>
        </w:trPr>
        <w:tc>
          <w:tcPr>
            <w:tcW w:w="2880" w:type="dxa"/>
          </w:tcPr>
          <w:p w14:paraId="7DA643C5"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 xml:space="preserve">PRACH </w:t>
            </w:r>
          </w:p>
        </w:tc>
        <w:tc>
          <w:tcPr>
            <w:tcW w:w="1338" w:type="dxa"/>
          </w:tcPr>
          <w:p w14:paraId="6E82CE9B" w14:textId="77777777" w:rsidR="006F71F4" w:rsidRPr="006F71F4" w:rsidRDefault="006F71F4" w:rsidP="00E979A7">
            <w:pPr>
              <w:tabs>
                <w:tab w:val="left" w:pos="450"/>
              </w:tabs>
              <w:contextualSpacing/>
              <w:jc w:val="center"/>
              <w:rPr>
                <w:rFonts w:ascii="Wingdings 2" w:hAnsi="Wingdings 2" w:cs="Arial"/>
                <w:b/>
                <w:bCs/>
                <w:sz w:val="18"/>
                <w:szCs w:val="18"/>
              </w:rPr>
            </w:pPr>
            <w:r w:rsidRPr="006F71F4">
              <w:rPr>
                <w:rFonts w:ascii="Wingdings 2" w:hAnsi="Wingdings 2" w:cs="Arial"/>
                <w:b/>
                <w:bCs/>
                <w:sz w:val="18"/>
                <w:szCs w:val="18"/>
              </w:rPr>
              <w:t>Å</w:t>
            </w:r>
          </w:p>
        </w:tc>
        <w:tc>
          <w:tcPr>
            <w:tcW w:w="1543" w:type="dxa"/>
          </w:tcPr>
          <w:p w14:paraId="2B3CFBD5" w14:textId="77777777" w:rsidR="006F71F4" w:rsidRPr="006F71F4" w:rsidRDefault="006F71F4" w:rsidP="00E979A7">
            <w:pPr>
              <w:tabs>
                <w:tab w:val="left" w:pos="450"/>
              </w:tabs>
              <w:contextualSpacing/>
              <w:jc w:val="center"/>
              <w:rPr>
                <w:rFonts w:ascii="Arial" w:hAnsi="Arial" w:cs="Arial"/>
                <w:b/>
                <w:bCs/>
                <w:sz w:val="18"/>
                <w:szCs w:val="18"/>
              </w:rPr>
            </w:pPr>
          </w:p>
        </w:tc>
        <w:tc>
          <w:tcPr>
            <w:tcW w:w="1543" w:type="dxa"/>
          </w:tcPr>
          <w:p w14:paraId="5D95E707"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c>
          <w:tcPr>
            <w:tcW w:w="1543" w:type="dxa"/>
          </w:tcPr>
          <w:p w14:paraId="5ACCF0C7"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r>
      <w:tr w:rsidR="006F71F4" w:rsidRPr="006F71F4" w14:paraId="3386CD7A" w14:textId="77777777" w:rsidTr="00E979A7">
        <w:trPr>
          <w:jc w:val="center"/>
        </w:trPr>
        <w:tc>
          <w:tcPr>
            <w:tcW w:w="2880" w:type="dxa"/>
          </w:tcPr>
          <w:p w14:paraId="76979D01"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CORESET 0 and RMSI</w:t>
            </w:r>
          </w:p>
        </w:tc>
        <w:tc>
          <w:tcPr>
            <w:tcW w:w="1338" w:type="dxa"/>
          </w:tcPr>
          <w:p w14:paraId="316F277A" w14:textId="77777777" w:rsidR="006F71F4" w:rsidRPr="006F71F4" w:rsidRDefault="006F71F4" w:rsidP="00E979A7">
            <w:pPr>
              <w:tabs>
                <w:tab w:val="left" w:pos="450"/>
              </w:tabs>
              <w:contextualSpacing/>
              <w:jc w:val="center"/>
              <w:rPr>
                <w:rFonts w:ascii="Wingdings 2" w:hAnsi="Wingdings 2" w:cs="Arial"/>
                <w:b/>
                <w:bCs/>
                <w:sz w:val="18"/>
                <w:szCs w:val="18"/>
              </w:rPr>
            </w:pPr>
            <w:r w:rsidRPr="006F71F4">
              <w:rPr>
                <w:rFonts w:ascii="Wingdings 2" w:hAnsi="Wingdings 2" w:cs="Arial"/>
                <w:b/>
                <w:bCs/>
                <w:sz w:val="18"/>
                <w:szCs w:val="18"/>
              </w:rPr>
              <w:t>Å</w:t>
            </w:r>
          </w:p>
        </w:tc>
        <w:tc>
          <w:tcPr>
            <w:tcW w:w="1543" w:type="dxa"/>
          </w:tcPr>
          <w:p w14:paraId="104A4452" w14:textId="77777777" w:rsidR="006F71F4" w:rsidRPr="006F71F4" w:rsidRDefault="006F71F4" w:rsidP="00E979A7">
            <w:pPr>
              <w:tabs>
                <w:tab w:val="left" w:pos="450"/>
              </w:tabs>
              <w:contextualSpacing/>
              <w:jc w:val="center"/>
              <w:rPr>
                <w:rFonts w:ascii="Arial" w:hAnsi="Arial" w:cs="Arial"/>
                <w:b/>
                <w:bCs/>
                <w:sz w:val="18"/>
                <w:szCs w:val="18"/>
              </w:rPr>
            </w:pPr>
          </w:p>
        </w:tc>
        <w:tc>
          <w:tcPr>
            <w:tcW w:w="1543" w:type="dxa"/>
          </w:tcPr>
          <w:p w14:paraId="0C2BBED5"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c>
          <w:tcPr>
            <w:tcW w:w="1543" w:type="dxa"/>
          </w:tcPr>
          <w:p w14:paraId="054497F9"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w:t>
            </w:r>
          </w:p>
        </w:tc>
      </w:tr>
      <w:tr w:rsidR="006F71F4" w:rsidRPr="006F71F4" w14:paraId="77AF837C" w14:textId="77777777" w:rsidTr="00E979A7">
        <w:trPr>
          <w:jc w:val="center"/>
        </w:trPr>
        <w:tc>
          <w:tcPr>
            <w:tcW w:w="2880" w:type="dxa"/>
          </w:tcPr>
          <w:p w14:paraId="558586A1"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Arial" w:hAnsi="Arial" w:cs="Arial"/>
                <w:b/>
                <w:bCs/>
                <w:sz w:val="18"/>
                <w:szCs w:val="18"/>
              </w:rPr>
              <w:t>Data and Control Channel</w:t>
            </w:r>
          </w:p>
        </w:tc>
        <w:tc>
          <w:tcPr>
            <w:tcW w:w="1338" w:type="dxa"/>
          </w:tcPr>
          <w:p w14:paraId="7E8AA900"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Wingdings 2" w:hAnsi="Wingdings 2" w:cs="Arial"/>
                <w:b/>
                <w:bCs/>
                <w:sz w:val="18"/>
                <w:szCs w:val="18"/>
              </w:rPr>
              <w:t>Å</w:t>
            </w:r>
          </w:p>
        </w:tc>
        <w:tc>
          <w:tcPr>
            <w:tcW w:w="1543" w:type="dxa"/>
          </w:tcPr>
          <w:p w14:paraId="28824F06" w14:textId="77777777" w:rsidR="006F71F4" w:rsidRPr="006F71F4" w:rsidRDefault="006F71F4" w:rsidP="00E979A7">
            <w:pPr>
              <w:tabs>
                <w:tab w:val="left" w:pos="450"/>
              </w:tabs>
              <w:contextualSpacing/>
              <w:jc w:val="center"/>
              <w:rPr>
                <w:rFonts w:ascii="Arial" w:hAnsi="Arial" w:cs="Arial"/>
                <w:b/>
                <w:bCs/>
                <w:sz w:val="18"/>
                <w:szCs w:val="18"/>
              </w:rPr>
            </w:pPr>
          </w:p>
        </w:tc>
        <w:tc>
          <w:tcPr>
            <w:tcW w:w="1543" w:type="dxa"/>
          </w:tcPr>
          <w:p w14:paraId="2A1E73EB"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Wingdings 2" w:hAnsi="Wingdings 2" w:cs="Arial"/>
                <w:b/>
                <w:bCs/>
                <w:sz w:val="18"/>
                <w:szCs w:val="18"/>
              </w:rPr>
              <w:t>Å</w:t>
            </w:r>
          </w:p>
        </w:tc>
        <w:tc>
          <w:tcPr>
            <w:tcW w:w="1543" w:type="dxa"/>
          </w:tcPr>
          <w:p w14:paraId="6D51D6EF" w14:textId="77777777" w:rsidR="006F71F4" w:rsidRPr="006F71F4" w:rsidRDefault="006F71F4" w:rsidP="00E979A7">
            <w:pPr>
              <w:tabs>
                <w:tab w:val="left" w:pos="450"/>
              </w:tabs>
              <w:contextualSpacing/>
              <w:jc w:val="center"/>
              <w:rPr>
                <w:rFonts w:ascii="Arial" w:hAnsi="Arial" w:cs="Arial"/>
                <w:b/>
                <w:bCs/>
                <w:sz w:val="18"/>
                <w:szCs w:val="18"/>
              </w:rPr>
            </w:pPr>
            <w:r w:rsidRPr="006F71F4">
              <w:rPr>
                <w:rFonts w:ascii="Wingdings 2" w:hAnsi="Wingdings 2" w:cs="Arial"/>
                <w:b/>
                <w:bCs/>
                <w:sz w:val="18"/>
                <w:szCs w:val="18"/>
              </w:rPr>
              <w:t>Å</w:t>
            </w:r>
          </w:p>
        </w:tc>
      </w:tr>
    </w:tbl>
    <w:p w14:paraId="540B0513" w14:textId="77777777" w:rsidR="006F71F4" w:rsidRPr="006F71F4" w:rsidRDefault="006F71F4" w:rsidP="006F71F4">
      <w:pPr>
        <w:tabs>
          <w:tab w:val="left" w:pos="450"/>
        </w:tabs>
        <w:jc w:val="both"/>
        <w:rPr>
          <w:rFonts w:ascii="Helvetica" w:hAnsi="Helvetica"/>
          <w:sz w:val="18"/>
          <w:szCs w:val="18"/>
        </w:rPr>
      </w:pPr>
    </w:p>
    <w:p w14:paraId="45CE8850" w14:textId="77777777" w:rsidR="006F71F4" w:rsidRPr="00384F83" w:rsidRDefault="006F71F4" w:rsidP="006F71F4">
      <w:pPr>
        <w:tabs>
          <w:tab w:val="left" w:pos="450"/>
        </w:tabs>
        <w:spacing w:after="120"/>
        <w:jc w:val="both"/>
        <w:rPr>
          <w:sz w:val="20"/>
          <w:szCs w:val="20"/>
        </w:rPr>
      </w:pPr>
      <w:r w:rsidRPr="00384F83">
        <w:rPr>
          <w:sz w:val="20"/>
          <w:szCs w:val="20"/>
        </w:rPr>
        <w:t xml:space="preserve">One of sub-objectives in the WID is to study additional SCS (240kHz,480kHz,960kHz) for SSB and additional SCS (480kHz, 960kHz) for initial access related signals/channels (e.g., CORESET 0, RMSI and PRACH) in initial BWP in addition to 120kHz SCS that was already agreed to support.  </w:t>
      </w:r>
    </w:p>
    <w:p w14:paraId="1F5039CF" w14:textId="77777777" w:rsidR="006F71F4" w:rsidRPr="00384F83" w:rsidRDefault="006F71F4" w:rsidP="006F71F4">
      <w:pPr>
        <w:tabs>
          <w:tab w:val="left" w:pos="450"/>
        </w:tabs>
        <w:jc w:val="both"/>
        <w:rPr>
          <w:sz w:val="20"/>
          <w:szCs w:val="20"/>
        </w:rPr>
      </w:pPr>
    </w:p>
    <w:p w14:paraId="63C67E62" w14:textId="71DF45A0" w:rsidR="006F71F4" w:rsidRPr="00384F83" w:rsidRDefault="006F71F4" w:rsidP="006F71F4">
      <w:pPr>
        <w:tabs>
          <w:tab w:val="left" w:pos="450"/>
        </w:tabs>
        <w:jc w:val="both"/>
        <w:rPr>
          <w:sz w:val="20"/>
          <w:szCs w:val="20"/>
        </w:rPr>
      </w:pPr>
      <w:r w:rsidRPr="00384F83">
        <w:rPr>
          <w:sz w:val="20"/>
          <w:szCs w:val="20"/>
        </w:rPr>
        <w:t>As concluded during study item phase and captured in TR 38.808, selection of the additional SCS on top of 120kHz should consider versatility of being able to support various applications and deployment scenarios with all SCSs that would be supported in specification for NR operation in the above 52.6GHz frequency band including</w:t>
      </w:r>
    </w:p>
    <w:p w14:paraId="50EB5AAE" w14:textId="77777777" w:rsidR="006F71F4" w:rsidRPr="00384F83" w:rsidRDefault="006F71F4" w:rsidP="006F71F4">
      <w:pPr>
        <w:pStyle w:val="ListParagraph"/>
        <w:numPr>
          <w:ilvl w:val="0"/>
          <w:numId w:val="17"/>
        </w:numPr>
        <w:overflowPunct w:val="0"/>
        <w:autoSpaceDE w:val="0"/>
        <w:autoSpaceDN w:val="0"/>
        <w:adjustRightInd w:val="0"/>
        <w:spacing w:after="180"/>
        <w:jc w:val="both"/>
        <w:textAlignment w:val="baseline"/>
        <w:rPr>
          <w:sz w:val="20"/>
          <w:szCs w:val="20"/>
        </w:rPr>
      </w:pPr>
      <w:r w:rsidRPr="00384F83">
        <w:rPr>
          <w:sz w:val="20"/>
          <w:szCs w:val="20"/>
        </w:rPr>
        <w:t>Coverage considerations and BWP switching</w:t>
      </w:r>
    </w:p>
    <w:p w14:paraId="7002A052" w14:textId="77777777" w:rsidR="006F71F4" w:rsidRPr="00384F83" w:rsidRDefault="006F71F4" w:rsidP="006F71F4">
      <w:pPr>
        <w:pStyle w:val="ListParagraph"/>
        <w:numPr>
          <w:ilvl w:val="0"/>
          <w:numId w:val="17"/>
        </w:numPr>
        <w:overflowPunct w:val="0"/>
        <w:autoSpaceDE w:val="0"/>
        <w:autoSpaceDN w:val="0"/>
        <w:adjustRightInd w:val="0"/>
        <w:spacing w:after="180"/>
        <w:jc w:val="both"/>
        <w:textAlignment w:val="baseline"/>
        <w:rPr>
          <w:sz w:val="20"/>
          <w:szCs w:val="20"/>
        </w:rPr>
      </w:pPr>
      <w:r w:rsidRPr="00384F83">
        <w:rPr>
          <w:sz w:val="20"/>
          <w:szCs w:val="20"/>
        </w:rPr>
        <w:t>Delay spread issues</w:t>
      </w:r>
    </w:p>
    <w:p w14:paraId="2FCD6533" w14:textId="77777777" w:rsidR="006F71F4" w:rsidRPr="00384F83" w:rsidRDefault="006F71F4" w:rsidP="006F71F4">
      <w:pPr>
        <w:pStyle w:val="ListParagraph"/>
        <w:numPr>
          <w:ilvl w:val="0"/>
          <w:numId w:val="17"/>
        </w:numPr>
        <w:overflowPunct w:val="0"/>
        <w:autoSpaceDE w:val="0"/>
        <w:autoSpaceDN w:val="0"/>
        <w:adjustRightInd w:val="0"/>
        <w:spacing w:after="180"/>
        <w:jc w:val="both"/>
        <w:textAlignment w:val="baseline"/>
        <w:rPr>
          <w:sz w:val="20"/>
          <w:szCs w:val="20"/>
        </w:rPr>
      </w:pPr>
      <w:r w:rsidRPr="00384F83">
        <w:rPr>
          <w:sz w:val="20"/>
          <w:szCs w:val="20"/>
        </w:rPr>
        <w:t>Phase noise issues</w:t>
      </w:r>
    </w:p>
    <w:p w14:paraId="75B00F4B" w14:textId="77777777" w:rsidR="006F71F4" w:rsidRPr="00384F83" w:rsidRDefault="006F71F4" w:rsidP="006F71F4">
      <w:pPr>
        <w:pStyle w:val="ListParagraph"/>
        <w:numPr>
          <w:ilvl w:val="0"/>
          <w:numId w:val="17"/>
        </w:numPr>
        <w:overflowPunct w:val="0"/>
        <w:autoSpaceDE w:val="0"/>
        <w:autoSpaceDN w:val="0"/>
        <w:adjustRightInd w:val="0"/>
        <w:spacing w:after="180"/>
        <w:jc w:val="both"/>
        <w:textAlignment w:val="baseline"/>
        <w:rPr>
          <w:sz w:val="20"/>
          <w:szCs w:val="20"/>
        </w:rPr>
      </w:pPr>
      <w:r w:rsidRPr="00384F83">
        <w:rPr>
          <w:sz w:val="20"/>
          <w:szCs w:val="20"/>
        </w:rPr>
        <w:t>Frequency and timing estimation issues</w:t>
      </w:r>
    </w:p>
    <w:p w14:paraId="7E47B22B" w14:textId="77777777" w:rsidR="006F71F4" w:rsidRPr="00384F83" w:rsidRDefault="006F71F4" w:rsidP="006F71F4">
      <w:pPr>
        <w:tabs>
          <w:tab w:val="left" w:pos="450"/>
        </w:tabs>
        <w:jc w:val="both"/>
        <w:rPr>
          <w:sz w:val="20"/>
          <w:szCs w:val="20"/>
        </w:rPr>
      </w:pPr>
      <w:r w:rsidRPr="00384F83">
        <w:rPr>
          <w:sz w:val="20"/>
          <w:szCs w:val="20"/>
        </w:rPr>
        <w:t xml:space="preserve">In general, for fixed payload channel (e.g., SSB/PDCCH/PUCCH etc.), the coverage performance is degraded with an increased SCS due to shorter symbol duration. A range of potential use cases was listed in TR 38.808 [2], including indoor hotspot, outdoor mobility scenarios (such as dense urban, urban micro, urban macro, rural, factor hall), and indoor D2D scenarios. For outdoor deployment scenario, 120KHz SCS can be used for SSB/CORESET0 to ensure the target coverage with a single numerology. For the indoor deployment scenarios, coverage is of less concern. Compared to 240KHz SCS candidate, the 480KHz SCS can be used not only for SSB but also for other initial access data/control channels including CORESET 0 and PRACH resources such that a single SCS is used to operate initial BWP for all channels e.g., for indoor deployment scenario. Furthermore, compared to 240KHz SCS, the 480KHz SCS SSB can further reduce the timing estimation error for data and control channels to operate 960KHz SCS with still maintaining UL timing within the CP. If it is still not enough in some deployment scenarios, TRS with 960KHz SCS can be additionally configured for data/control channels in a UE-specific BWP such that a single numerology operation of all signal/channels can be achieved.   </w:t>
      </w:r>
    </w:p>
    <w:p w14:paraId="1F8B1AA0" w14:textId="77777777" w:rsidR="006F71F4" w:rsidRPr="00384F83" w:rsidRDefault="006F71F4" w:rsidP="006F71F4">
      <w:pPr>
        <w:tabs>
          <w:tab w:val="left" w:pos="450"/>
        </w:tabs>
        <w:spacing w:before="180"/>
        <w:jc w:val="both"/>
        <w:rPr>
          <w:sz w:val="20"/>
          <w:szCs w:val="20"/>
        </w:rPr>
      </w:pPr>
      <w:r w:rsidRPr="00384F83">
        <w:rPr>
          <w:sz w:val="20"/>
          <w:szCs w:val="20"/>
        </w:rPr>
        <w:t xml:space="preserve">In summary, to minimize the specification efforts, avoid unnecessarily tighter requirements on UE timing as well as the sampling processing while maximizing supported use cases and deployment scenarios applicable for above 52.6GHz frequency bands, we recommend to additionally consider the 480kHz SCS only with normal CP for SSB for extending current NR operation to 71GHz. </w:t>
      </w:r>
    </w:p>
    <w:p w14:paraId="36894178" w14:textId="1A2B1D68" w:rsidR="006F71F4" w:rsidRPr="006F71F4" w:rsidRDefault="006F71F4" w:rsidP="006F71F4">
      <w:pPr>
        <w:tabs>
          <w:tab w:val="left" w:pos="450"/>
        </w:tabs>
        <w:spacing w:before="180"/>
        <w:ind w:left="1166" w:hanging="1166"/>
        <w:jc w:val="both"/>
        <w:rPr>
          <w:rFonts w:ascii="Helvetica" w:hAnsi="Helvetica" w:cs="Arial"/>
          <w:b/>
          <w:bCs/>
          <w:sz w:val="18"/>
          <w:szCs w:val="18"/>
        </w:rPr>
      </w:pPr>
      <w:r w:rsidRPr="00384F83">
        <w:rPr>
          <w:b/>
          <w:bCs/>
          <w:sz w:val="20"/>
          <w:szCs w:val="20"/>
        </w:rPr>
        <w:t xml:space="preserve">Proposal </w:t>
      </w:r>
      <w:r w:rsidR="000F3400">
        <w:rPr>
          <w:b/>
          <w:bCs/>
          <w:sz w:val="20"/>
          <w:szCs w:val="20"/>
        </w:rPr>
        <w:t>2</w:t>
      </w:r>
      <w:r w:rsidRPr="00384F83">
        <w:rPr>
          <w:b/>
          <w:bCs/>
          <w:sz w:val="20"/>
          <w:szCs w:val="20"/>
        </w:rPr>
        <w:t xml:space="preserve">: In addition to 120kHz SCS, </w:t>
      </w:r>
      <w:r w:rsidR="002654F1" w:rsidRPr="00384F83">
        <w:rPr>
          <w:b/>
          <w:bCs/>
          <w:sz w:val="20"/>
          <w:szCs w:val="20"/>
        </w:rPr>
        <w:t xml:space="preserve">optionally </w:t>
      </w:r>
      <w:r w:rsidRPr="00384F83">
        <w:rPr>
          <w:b/>
          <w:bCs/>
          <w:sz w:val="20"/>
          <w:szCs w:val="20"/>
        </w:rPr>
        <w:t>support 480kHz SCS for the SS/PBCH transmission for &gt;52.6GHz frequency band</w:t>
      </w:r>
      <w:r w:rsidRPr="006F71F4">
        <w:rPr>
          <w:rFonts w:ascii="Helvetica" w:hAnsi="Helvetica" w:cs="Arial"/>
          <w:b/>
          <w:bCs/>
          <w:sz w:val="18"/>
          <w:szCs w:val="18"/>
        </w:rPr>
        <w:t>.</w:t>
      </w:r>
    </w:p>
    <w:p w14:paraId="2B7F81B7" w14:textId="77777777" w:rsidR="007059D9" w:rsidRPr="00BE2A72" w:rsidRDefault="007059D9" w:rsidP="007059D9"/>
    <w:p w14:paraId="34C99636" w14:textId="77777777" w:rsidR="008E7986" w:rsidRDefault="008E7986" w:rsidP="008E7986">
      <w:pPr>
        <w:pStyle w:val="Heading1"/>
      </w:pPr>
      <w:r>
        <w:lastRenderedPageBreak/>
        <w:t>3</w:t>
      </w:r>
      <w:r>
        <w:tab/>
        <w:t>Conclusions</w:t>
      </w:r>
    </w:p>
    <w:p w14:paraId="6F3027FC" w14:textId="26809423" w:rsidR="00300BA9" w:rsidRDefault="00B61EEA" w:rsidP="00300BA9">
      <w:pPr>
        <w:rPr>
          <w:sz w:val="20"/>
          <w:szCs w:val="20"/>
        </w:rPr>
      </w:pPr>
      <w:r w:rsidRPr="00384F83">
        <w:rPr>
          <w:sz w:val="20"/>
          <w:szCs w:val="20"/>
        </w:rPr>
        <w:t>In this contribution</w:t>
      </w:r>
      <w:r>
        <w:rPr>
          <w:sz w:val="20"/>
          <w:szCs w:val="20"/>
        </w:rPr>
        <w:t xml:space="preserve">, </w:t>
      </w:r>
      <w:r w:rsidR="008A54F8">
        <w:rPr>
          <w:sz w:val="20"/>
          <w:szCs w:val="20"/>
        </w:rPr>
        <w:t xml:space="preserve">the potential </w:t>
      </w:r>
      <w:r>
        <w:rPr>
          <w:sz w:val="20"/>
          <w:szCs w:val="20"/>
        </w:rPr>
        <w:t>impact</w:t>
      </w:r>
      <w:r w:rsidR="008A54F8">
        <w:rPr>
          <w:sz w:val="20"/>
          <w:szCs w:val="20"/>
        </w:rPr>
        <w:t>s of how to define 52.6GHz-71GHz</w:t>
      </w:r>
      <w:r>
        <w:rPr>
          <w:sz w:val="20"/>
          <w:szCs w:val="20"/>
        </w:rPr>
        <w:t xml:space="preserve"> </w:t>
      </w:r>
      <w:r w:rsidR="008A54F8">
        <w:rPr>
          <w:sz w:val="20"/>
          <w:szCs w:val="20"/>
        </w:rPr>
        <w:t>in either a new FR or existing FR2 are discussed from RAN1/2/4 perspectives, respectively</w:t>
      </w:r>
      <w:r w:rsidR="000F3400">
        <w:rPr>
          <w:sz w:val="20"/>
          <w:szCs w:val="20"/>
        </w:rPr>
        <w:t xml:space="preserve">. Profound impacts have been identified from the aspects of UE architecture, existing FR2 features, band agnostic principles, signaling and 3GPP specification maintenance. Based on the analysis, it is proposed that </w:t>
      </w:r>
    </w:p>
    <w:p w14:paraId="6CDECD7F" w14:textId="3A7E816A" w:rsidR="000F3400" w:rsidRPr="00384F83" w:rsidRDefault="000F3400" w:rsidP="00300BA9">
      <w:pPr>
        <w:rPr>
          <w:b/>
          <w:bCs/>
          <w:i/>
          <w:iCs/>
          <w:sz w:val="20"/>
          <w:szCs w:val="20"/>
        </w:rPr>
      </w:pPr>
    </w:p>
    <w:p w14:paraId="22379826" w14:textId="1F0BA77F" w:rsidR="000F3400" w:rsidRPr="00384F83" w:rsidRDefault="000F3400" w:rsidP="00300BA9">
      <w:pPr>
        <w:rPr>
          <w:b/>
          <w:bCs/>
          <w:i/>
          <w:iCs/>
          <w:sz w:val="20"/>
          <w:szCs w:val="20"/>
        </w:rPr>
      </w:pPr>
      <w:r w:rsidRPr="00384F83">
        <w:rPr>
          <w:b/>
          <w:bCs/>
          <w:i/>
          <w:iCs/>
          <w:sz w:val="20"/>
          <w:szCs w:val="20"/>
        </w:rPr>
        <w:t>Proposal 1: WG should discuss and provide recommendations to RAN plenary to make the final decision whether new FR (e.g. FR3) shall be defined for the frequency range from 52.6GHz-71GHz or the existing FR2 shall be extended to cover frequency range from 52.6GHz-71GHz.</w:t>
      </w:r>
    </w:p>
    <w:p w14:paraId="1D257A9F" w14:textId="41DDE42D" w:rsidR="000F3400" w:rsidRDefault="000F3400" w:rsidP="00300BA9">
      <w:pPr>
        <w:rPr>
          <w:rFonts w:ascii="Helvetica" w:hAnsi="Helvetica"/>
          <w:b/>
          <w:bCs/>
          <w:i/>
          <w:iCs/>
          <w:sz w:val="18"/>
          <w:szCs w:val="18"/>
        </w:rPr>
      </w:pPr>
    </w:p>
    <w:p w14:paraId="788777F3" w14:textId="2AD13C02" w:rsidR="000F3400" w:rsidRDefault="000F3400" w:rsidP="00300BA9">
      <w:pPr>
        <w:rPr>
          <w:sz w:val="20"/>
          <w:szCs w:val="20"/>
        </w:rPr>
      </w:pPr>
      <w:r w:rsidRPr="00384F83">
        <w:rPr>
          <w:sz w:val="20"/>
          <w:szCs w:val="20"/>
        </w:rPr>
        <w:t xml:space="preserve">Regarding </w:t>
      </w:r>
      <w:r>
        <w:rPr>
          <w:sz w:val="20"/>
          <w:szCs w:val="20"/>
        </w:rPr>
        <w:t xml:space="preserve">the support of SSB subcarrier spacing, it is proposed that </w:t>
      </w:r>
    </w:p>
    <w:p w14:paraId="37F7E9E0" w14:textId="3CD4055A" w:rsidR="000F3400" w:rsidRDefault="000F3400" w:rsidP="00300BA9">
      <w:pPr>
        <w:rPr>
          <w:sz w:val="20"/>
          <w:szCs w:val="20"/>
        </w:rPr>
      </w:pPr>
    </w:p>
    <w:p w14:paraId="2CDE1268" w14:textId="3708931D" w:rsidR="000F3400" w:rsidRPr="00384F83" w:rsidRDefault="000F3400" w:rsidP="00300BA9">
      <w:pPr>
        <w:rPr>
          <w:b/>
          <w:bCs/>
          <w:i/>
          <w:iCs/>
          <w:sz w:val="20"/>
          <w:szCs w:val="20"/>
        </w:rPr>
      </w:pPr>
      <w:r w:rsidRPr="00384F83">
        <w:rPr>
          <w:b/>
          <w:bCs/>
          <w:i/>
          <w:iCs/>
          <w:sz w:val="20"/>
          <w:szCs w:val="20"/>
        </w:rPr>
        <w:t>Proposal 2: In addition to 120kHz SCS, optionally support 480kHz SCS for the SS/PBCH transmission for &gt;52.6GHz frequency band.</w:t>
      </w:r>
    </w:p>
    <w:p w14:paraId="41BB36C8" w14:textId="0AB5ADEA" w:rsidR="005E69AE" w:rsidRDefault="005E69AE" w:rsidP="00662A4B"/>
    <w:p w14:paraId="4D133CD8" w14:textId="4D8B9443" w:rsidR="00276EE4" w:rsidRPr="003A0483" w:rsidRDefault="005E69AE" w:rsidP="00BC4103">
      <w:pPr>
        <w:pStyle w:val="Heading1"/>
      </w:pPr>
      <w:r>
        <w:t>4</w:t>
      </w:r>
      <w:r>
        <w:tab/>
        <w:t>References</w:t>
      </w:r>
    </w:p>
    <w:p w14:paraId="10335E92" w14:textId="01A31550" w:rsidR="00821AEF" w:rsidRPr="00D857BA" w:rsidRDefault="00821AEF" w:rsidP="00276EE4">
      <w:pPr>
        <w:pStyle w:val="EX"/>
        <w:rPr>
          <w:sz w:val="20"/>
          <w:szCs w:val="20"/>
        </w:rPr>
      </w:pPr>
      <w:bookmarkStart w:id="2" w:name="_Ref31651909"/>
      <w:bookmarkStart w:id="3" w:name="_Ref13820109"/>
      <w:r w:rsidRPr="00D857BA">
        <w:rPr>
          <w:sz w:val="20"/>
          <w:szCs w:val="20"/>
        </w:rPr>
        <w:t>RP-</w:t>
      </w:r>
      <w:r w:rsidR="005273BE" w:rsidRPr="00D857BA">
        <w:rPr>
          <w:sz w:val="20"/>
          <w:szCs w:val="20"/>
        </w:rPr>
        <w:t>202925</w:t>
      </w:r>
      <w:r w:rsidRPr="00D857BA">
        <w:rPr>
          <w:sz w:val="20"/>
          <w:szCs w:val="20"/>
        </w:rPr>
        <w:t>, "</w:t>
      </w:r>
      <w:r w:rsidR="005273BE" w:rsidRPr="00D857BA">
        <w:rPr>
          <w:sz w:val="20"/>
          <w:szCs w:val="20"/>
        </w:rPr>
        <w:t>Revised WID:  Extending current NR operation to 71 GHz</w:t>
      </w:r>
      <w:r w:rsidRPr="00D857BA">
        <w:rPr>
          <w:sz w:val="20"/>
          <w:szCs w:val="20"/>
        </w:rPr>
        <w:t xml:space="preserve">", </w:t>
      </w:r>
      <w:bookmarkEnd w:id="2"/>
      <w:r w:rsidR="005273BE" w:rsidRPr="00D857BA">
        <w:rPr>
          <w:sz w:val="20"/>
          <w:szCs w:val="20"/>
        </w:rPr>
        <w:t>CMCC</w:t>
      </w:r>
    </w:p>
    <w:p w14:paraId="687545EC" w14:textId="746660BA" w:rsidR="009E4AB1" w:rsidRPr="00D857BA" w:rsidRDefault="00CB51CC" w:rsidP="00CB51CC">
      <w:pPr>
        <w:pStyle w:val="EX"/>
        <w:rPr>
          <w:sz w:val="20"/>
          <w:szCs w:val="20"/>
        </w:rPr>
      </w:pPr>
      <w:bookmarkStart w:id="4" w:name="_Ref66516791"/>
      <w:r w:rsidRPr="00D857BA">
        <w:rPr>
          <w:sz w:val="20"/>
          <w:szCs w:val="20"/>
        </w:rPr>
        <w:t xml:space="preserve">3GPP TR </w:t>
      </w:r>
      <w:r w:rsidR="009E4AB1" w:rsidRPr="00D857BA">
        <w:rPr>
          <w:sz w:val="20"/>
          <w:szCs w:val="20"/>
        </w:rPr>
        <w:t xml:space="preserve">38.822, </w:t>
      </w:r>
      <w:r w:rsidRPr="00D857BA">
        <w:rPr>
          <w:sz w:val="20"/>
          <w:szCs w:val="20"/>
        </w:rPr>
        <w:t>User Equipment (UE) feature list, (Release 15)</w:t>
      </w:r>
      <w:bookmarkEnd w:id="4"/>
    </w:p>
    <w:p w14:paraId="6F93C447" w14:textId="2C76468E" w:rsidR="009E4AB1" w:rsidRPr="00D857BA" w:rsidRDefault="00CB51CC" w:rsidP="00D349D3">
      <w:pPr>
        <w:pStyle w:val="EX"/>
        <w:rPr>
          <w:sz w:val="20"/>
          <w:szCs w:val="20"/>
        </w:rPr>
      </w:pPr>
      <w:bookmarkStart w:id="5" w:name="_Ref66516806"/>
      <w:r w:rsidRPr="00D857BA">
        <w:rPr>
          <w:sz w:val="20"/>
          <w:szCs w:val="20"/>
        </w:rPr>
        <w:t xml:space="preserve">3GPP TR </w:t>
      </w:r>
      <w:r w:rsidR="009E4AB1" w:rsidRPr="00D857BA">
        <w:rPr>
          <w:sz w:val="20"/>
          <w:szCs w:val="20"/>
        </w:rPr>
        <w:t>38.211</w:t>
      </w:r>
      <w:bookmarkEnd w:id="5"/>
      <w:r w:rsidRPr="00D857BA">
        <w:rPr>
          <w:sz w:val="20"/>
          <w:szCs w:val="20"/>
        </w:rPr>
        <w:t>, NR; Physical channels and modulation, (Release 16)</w:t>
      </w:r>
    </w:p>
    <w:p w14:paraId="1CBBB7BB" w14:textId="6DAD06A4" w:rsidR="009E4AB1" w:rsidRPr="00D857BA" w:rsidRDefault="00CB51CC" w:rsidP="00416DAB">
      <w:pPr>
        <w:pStyle w:val="EX"/>
        <w:rPr>
          <w:sz w:val="20"/>
          <w:szCs w:val="20"/>
        </w:rPr>
      </w:pPr>
      <w:bookmarkStart w:id="6" w:name="_Ref66516811"/>
      <w:r w:rsidRPr="00D857BA">
        <w:rPr>
          <w:sz w:val="20"/>
          <w:szCs w:val="20"/>
        </w:rPr>
        <w:t xml:space="preserve">3GPP TR </w:t>
      </w:r>
      <w:r w:rsidR="009E4AB1" w:rsidRPr="00D857BA">
        <w:rPr>
          <w:sz w:val="20"/>
          <w:szCs w:val="20"/>
        </w:rPr>
        <w:t>38.213</w:t>
      </w:r>
      <w:bookmarkEnd w:id="6"/>
      <w:r w:rsidRPr="00D857BA">
        <w:rPr>
          <w:sz w:val="20"/>
          <w:szCs w:val="20"/>
        </w:rPr>
        <w:t xml:space="preserve">, </w:t>
      </w:r>
      <w:r w:rsidR="00D83477" w:rsidRPr="00D857BA">
        <w:rPr>
          <w:sz w:val="20"/>
          <w:szCs w:val="20"/>
        </w:rPr>
        <w:t>NR; Physical layer procedures for control, (Release 16)</w:t>
      </w:r>
    </w:p>
    <w:p w14:paraId="6400C86E" w14:textId="252C707D" w:rsidR="009E4AB1" w:rsidRPr="00D857BA" w:rsidRDefault="00CB51CC" w:rsidP="00276EE4">
      <w:pPr>
        <w:pStyle w:val="EX"/>
        <w:rPr>
          <w:sz w:val="20"/>
          <w:szCs w:val="20"/>
        </w:rPr>
      </w:pPr>
      <w:bookmarkStart w:id="7" w:name="_Ref66516863"/>
      <w:r w:rsidRPr="00D857BA">
        <w:rPr>
          <w:sz w:val="20"/>
          <w:szCs w:val="20"/>
        </w:rPr>
        <w:t xml:space="preserve">3GPP </w:t>
      </w:r>
      <w:r w:rsidR="009E4AB1" w:rsidRPr="00D857BA">
        <w:rPr>
          <w:sz w:val="20"/>
          <w:szCs w:val="20"/>
        </w:rPr>
        <w:t>RAN 1 #104-e, Chairman’s Notes</w:t>
      </w:r>
      <w:bookmarkEnd w:id="7"/>
      <w:r w:rsidRPr="00D857BA">
        <w:rPr>
          <w:sz w:val="20"/>
          <w:szCs w:val="20"/>
        </w:rPr>
        <w:t>, January 2021</w:t>
      </w:r>
    </w:p>
    <w:bookmarkEnd w:id="0"/>
    <w:bookmarkEnd w:id="3"/>
    <w:p w14:paraId="50A569BD" w14:textId="4C8BB88F" w:rsidR="00BC4103" w:rsidRDefault="00BC4103" w:rsidP="006459B5">
      <w:pPr>
        <w:pStyle w:val="EX"/>
        <w:numPr>
          <w:ilvl w:val="0"/>
          <w:numId w:val="0"/>
        </w:numPr>
      </w:pPr>
    </w:p>
    <w:sectPr w:rsidR="00BC4103" w:rsidSect="00114E2C">
      <w:headerReference w:type="default" r:id="rId18"/>
      <w:footerReference w:type="defaul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19B507" w14:textId="77777777" w:rsidR="00345425" w:rsidRDefault="00345425">
      <w:r>
        <w:separator/>
      </w:r>
    </w:p>
  </w:endnote>
  <w:endnote w:type="continuationSeparator" w:id="0">
    <w:p w14:paraId="11534C59" w14:textId="77777777" w:rsidR="00345425" w:rsidRDefault="003454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Wingdings 2">
    <w:panose1 w:val="05020102010507070707"/>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854196" w14:textId="77777777" w:rsidR="00345425" w:rsidRDefault="00345425">
      <w:r>
        <w:separator/>
      </w:r>
    </w:p>
  </w:footnote>
  <w:footnote w:type="continuationSeparator" w:id="0">
    <w:p w14:paraId="4F7F8A7B" w14:textId="77777777" w:rsidR="00345425" w:rsidRDefault="003454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3"/>
  </w:num>
  <w:num w:numId="6">
    <w:abstractNumId w:val="3"/>
  </w:num>
  <w:num w:numId="7">
    <w:abstractNumId w:val="11"/>
  </w:num>
  <w:num w:numId="8">
    <w:abstractNumId w:val="4"/>
  </w:num>
  <w:num w:numId="9">
    <w:abstractNumId w:val="13"/>
  </w:num>
  <w:num w:numId="10">
    <w:abstractNumId w:val="16"/>
  </w:num>
  <w:num w:numId="11">
    <w:abstractNumId w:val="8"/>
  </w:num>
  <w:num w:numId="12">
    <w:abstractNumId w:val="7"/>
  </w:num>
  <w:num w:numId="13">
    <w:abstractNumId w:val="6"/>
  </w:num>
  <w:num w:numId="14">
    <w:abstractNumId w:val="15"/>
  </w:num>
  <w:num w:numId="15">
    <w:abstractNumId w:val="9"/>
  </w:num>
  <w:num w:numId="16">
    <w:abstractNumId w:val="14"/>
  </w:num>
  <w:num w:numId="17">
    <w:abstractNumId w:val="10"/>
  </w:num>
  <w:num w:numId="18">
    <w:abstractNumId w:val="5"/>
  </w:num>
  <w:num w:numId="19">
    <w:abstractNumId w:val="12"/>
  </w:num>
  <w:num w:numId="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129A5"/>
    <w:rsid w:val="00012A37"/>
    <w:rsid w:val="00026BD3"/>
    <w:rsid w:val="00033397"/>
    <w:rsid w:val="00040095"/>
    <w:rsid w:val="00046768"/>
    <w:rsid w:val="00051834"/>
    <w:rsid w:val="0005477E"/>
    <w:rsid w:val="00054A22"/>
    <w:rsid w:val="00062023"/>
    <w:rsid w:val="000655A6"/>
    <w:rsid w:val="00080512"/>
    <w:rsid w:val="000A365D"/>
    <w:rsid w:val="000A68F3"/>
    <w:rsid w:val="000B4E6A"/>
    <w:rsid w:val="000B7599"/>
    <w:rsid w:val="000C47C3"/>
    <w:rsid w:val="000D2AB6"/>
    <w:rsid w:val="000D2C4B"/>
    <w:rsid w:val="000D58AB"/>
    <w:rsid w:val="000E3702"/>
    <w:rsid w:val="000F3400"/>
    <w:rsid w:val="000F42F7"/>
    <w:rsid w:val="000F4BE8"/>
    <w:rsid w:val="000F5D71"/>
    <w:rsid w:val="00101EB9"/>
    <w:rsid w:val="00104BC6"/>
    <w:rsid w:val="00112A20"/>
    <w:rsid w:val="00112D80"/>
    <w:rsid w:val="00114E2C"/>
    <w:rsid w:val="00133525"/>
    <w:rsid w:val="001620A7"/>
    <w:rsid w:val="00162A8A"/>
    <w:rsid w:val="00165302"/>
    <w:rsid w:val="00182F98"/>
    <w:rsid w:val="001A1513"/>
    <w:rsid w:val="001A4C42"/>
    <w:rsid w:val="001C21C3"/>
    <w:rsid w:val="001D02C2"/>
    <w:rsid w:val="001D3883"/>
    <w:rsid w:val="001F0C1D"/>
    <w:rsid w:val="001F1132"/>
    <w:rsid w:val="001F168B"/>
    <w:rsid w:val="00210943"/>
    <w:rsid w:val="00211302"/>
    <w:rsid w:val="00223E60"/>
    <w:rsid w:val="002347A2"/>
    <w:rsid w:val="00247926"/>
    <w:rsid w:val="00261DE3"/>
    <w:rsid w:val="00262167"/>
    <w:rsid w:val="002654F1"/>
    <w:rsid w:val="002675F0"/>
    <w:rsid w:val="00276EE4"/>
    <w:rsid w:val="002B2D3F"/>
    <w:rsid w:val="002B6339"/>
    <w:rsid w:val="002D56F3"/>
    <w:rsid w:val="002E00EE"/>
    <w:rsid w:val="00300BA9"/>
    <w:rsid w:val="00301868"/>
    <w:rsid w:val="00313A57"/>
    <w:rsid w:val="003172DC"/>
    <w:rsid w:val="00336438"/>
    <w:rsid w:val="003378AE"/>
    <w:rsid w:val="0034052F"/>
    <w:rsid w:val="0034273B"/>
    <w:rsid w:val="00345425"/>
    <w:rsid w:val="0034735C"/>
    <w:rsid w:val="0035462D"/>
    <w:rsid w:val="00357075"/>
    <w:rsid w:val="003650C3"/>
    <w:rsid w:val="0036620E"/>
    <w:rsid w:val="00370A9A"/>
    <w:rsid w:val="00371558"/>
    <w:rsid w:val="003765B8"/>
    <w:rsid w:val="00384F83"/>
    <w:rsid w:val="003A0483"/>
    <w:rsid w:val="003B4652"/>
    <w:rsid w:val="003C3971"/>
    <w:rsid w:val="003C4D69"/>
    <w:rsid w:val="003D37E2"/>
    <w:rsid w:val="003D4522"/>
    <w:rsid w:val="003E2C78"/>
    <w:rsid w:val="003E7753"/>
    <w:rsid w:val="003F07E3"/>
    <w:rsid w:val="003F6793"/>
    <w:rsid w:val="0041089F"/>
    <w:rsid w:val="00412687"/>
    <w:rsid w:val="00423334"/>
    <w:rsid w:val="00424397"/>
    <w:rsid w:val="0042668D"/>
    <w:rsid w:val="00430001"/>
    <w:rsid w:val="004345EC"/>
    <w:rsid w:val="004406A5"/>
    <w:rsid w:val="00443B1F"/>
    <w:rsid w:val="00445952"/>
    <w:rsid w:val="00472C04"/>
    <w:rsid w:val="004826A9"/>
    <w:rsid w:val="004837BD"/>
    <w:rsid w:val="004A6B02"/>
    <w:rsid w:val="004B0ECB"/>
    <w:rsid w:val="004C1601"/>
    <w:rsid w:val="004D3578"/>
    <w:rsid w:val="004E213A"/>
    <w:rsid w:val="004E3C97"/>
    <w:rsid w:val="004F0988"/>
    <w:rsid w:val="004F3340"/>
    <w:rsid w:val="004F3E3D"/>
    <w:rsid w:val="004F46DD"/>
    <w:rsid w:val="004F6220"/>
    <w:rsid w:val="00503000"/>
    <w:rsid w:val="00506787"/>
    <w:rsid w:val="005157F0"/>
    <w:rsid w:val="00520120"/>
    <w:rsid w:val="005204B4"/>
    <w:rsid w:val="005273BE"/>
    <w:rsid w:val="0053388B"/>
    <w:rsid w:val="00535773"/>
    <w:rsid w:val="00542052"/>
    <w:rsid w:val="00543E6C"/>
    <w:rsid w:val="00555534"/>
    <w:rsid w:val="00565087"/>
    <w:rsid w:val="0057261C"/>
    <w:rsid w:val="00572E14"/>
    <w:rsid w:val="005930E6"/>
    <w:rsid w:val="005973BE"/>
    <w:rsid w:val="005A5986"/>
    <w:rsid w:val="005B1F1B"/>
    <w:rsid w:val="005C4000"/>
    <w:rsid w:val="005D2E01"/>
    <w:rsid w:val="005D7526"/>
    <w:rsid w:val="005E69AE"/>
    <w:rsid w:val="005F4CDD"/>
    <w:rsid w:val="00602AEA"/>
    <w:rsid w:val="00607E3C"/>
    <w:rsid w:val="00614FDF"/>
    <w:rsid w:val="00623C82"/>
    <w:rsid w:val="006246A7"/>
    <w:rsid w:val="0062595A"/>
    <w:rsid w:val="00632B45"/>
    <w:rsid w:val="006343D6"/>
    <w:rsid w:val="0063543D"/>
    <w:rsid w:val="006459B5"/>
    <w:rsid w:val="00647114"/>
    <w:rsid w:val="00662A4B"/>
    <w:rsid w:val="006A0145"/>
    <w:rsid w:val="006A016F"/>
    <w:rsid w:val="006A323F"/>
    <w:rsid w:val="006B30D0"/>
    <w:rsid w:val="006C0AD3"/>
    <w:rsid w:val="006C3D95"/>
    <w:rsid w:val="006C79D3"/>
    <w:rsid w:val="006E5C86"/>
    <w:rsid w:val="006F71F4"/>
    <w:rsid w:val="007059D9"/>
    <w:rsid w:val="00713C44"/>
    <w:rsid w:val="00723A44"/>
    <w:rsid w:val="00726A73"/>
    <w:rsid w:val="00734A5B"/>
    <w:rsid w:val="0074026F"/>
    <w:rsid w:val="007429F6"/>
    <w:rsid w:val="00742B5A"/>
    <w:rsid w:val="00744E76"/>
    <w:rsid w:val="00752198"/>
    <w:rsid w:val="00753881"/>
    <w:rsid w:val="007615CA"/>
    <w:rsid w:val="00774DA4"/>
    <w:rsid w:val="00781F0F"/>
    <w:rsid w:val="007851C1"/>
    <w:rsid w:val="007B462B"/>
    <w:rsid w:val="007B600E"/>
    <w:rsid w:val="007C4A4E"/>
    <w:rsid w:val="007D53B3"/>
    <w:rsid w:val="007D5A1C"/>
    <w:rsid w:val="007D7D88"/>
    <w:rsid w:val="007E2E4B"/>
    <w:rsid w:val="007E6293"/>
    <w:rsid w:val="007F0F4A"/>
    <w:rsid w:val="008028A4"/>
    <w:rsid w:val="008038C2"/>
    <w:rsid w:val="00810E8D"/>
    <w:rsid w:val="00820B25"/>
    <w:rsid w:val="00820E0F"/>
    <w:rsid w:val="00821AEF"/>
    <w:rsid w:val="00826E3B"/>
    <w:rsid w:val="00830747"/>
    <w:rsid w:val="00833358"/>
    <w:rsid w:val="008340FF"/>
    <w:rsid w:val="008366FC"/>
    <w:rsid w:val="00841896"/>
    <w:rsid w:val="00843B15"/>
    <w:rsid w:val="008569D0"/>
    <w:rsid w:val="008768CA"/>
    <w:rsid w:val="008826B0"/>
    <w:rsid w:val="008A54F8"/>
    <w:rsid w:val="008C1634"/>
    <w:rsid w:val="008C384C"/>
    <w:rsid w:val="008D3F18"/>
    <w:rsid w:val="008E7986"/>
    <w:rsid w:val="008F15A3"/>
    <w:rsid w:val="0090271F"/>
    <w:rsid w:val="00902E23"/>
    <w:rsid w:val="00910D9E"/>
    <w:rsid w:val="009114D7"/>
    <w:rsid w:val="009125EF"/>
    <w:rsid w:val="0091348E"/>
    <w:rsid w:val="00915D75"/>
    <w:rsid w:val="00917CCB"/>
    <w:rsid w:val="00924DAC"/>
    <w:rsid w:val="00926F97"/>
    <w:rsid w:val="00935B71"/>
    <w:rsid w:val="009426F4"/>
    <w:rsid w:val="00942EC2"/>
    <w:rsid w:val="009545A1"/>
    <w:rsid w:val="009876B4"/>
    <w:rsid w:val="009A758A"/>
    <w:rsid w:val="009C2C1B"/>
    <w:rsid w:val="009C47B5"/>
    <w:rsid w:val="009E4AB1"/>
    <w:rsid w:val="009F237D"/>
    <w:rsid w:val="009F2F14"/>
    <w:rsid w:val="009F37B7"/>
    <w:rsid w:val="009F4887"/>
    <w:rsid w:val="009F5E43"/>
    <w:rsid w:val="00A03460"/>
    <w:rsid w:val="00A051F0"/>
    <w:rsid w:val="00A07446"/>
    <w:rsid w:val="00A10F02"/>
    <w:rsid w:val="00A164B4"/>
    <w:rsid w:val="00A22938"/>
    <w:rsid w:val="00A255D6"/>
    <w:rsid w:val="00A26956"/>
    <w:rsid w:val="00A33E80"/>
    <w:rsid w:val="00A37271"/>
    <w:rsid w:val="00A53724"/>
    <w:rsid w:val="00A5526E"/>
    <w:rsid w:val="00A73129"/>
    <w:rsid w:val="00A76978"/>
    <w:rsid w:val="00A82346"/>
    <w:rsid w:val="00A82D1F"/>
    <w:rsid w:val="00A8668F"/>
    <w:rsid w:val="00A92BA1"/>
    <w:rsid w:val="00AB7F3B"/>
    <w:rsid w:val="00AC135F"/>
    <w:rsid w:val="00AC54B7"/>
    <w:rsid w:val="00AC6BC6"/>
    <w:rsid w:val="00AD5DD7"/>
    <w:rsid w:val="00AE3797"/>
    <w:rsid w:val="00AF36D6"/>
    <w:rsid w:val="00AF4359"/>
    <w:rsid w:val="00AF4FE2"/>
    <w:rsid w:val="00AF5752"/>
    <w:rsid w:val="00B03FD0"/>
    <w:rsid w:val="00B06539"/>
    <w:rsid w:val="00B15449"/>
    <w:rsid w:val="00B16019"/>
    <w:rsid w:val="00B211C1"/>
    <w:rsid w:val="00B27217"/>
    <w:rsid w:val="00B27C15"/>
    <w:rsid w:val="00B32270"/>
    <w:rsid w:val="00B44E1F"/>
    <w:rsid w:val="00B60B51"/>
    <w:rsid w:val="00B61EEA"/>
    <w:rsid w:val="00B83171"/>
    <w:rsid w:val="00B838F7"/>
    <w:rsid w:val="00B913A1"/>
    <w:rsid w:val="00B93086"/>
    <w:rsid w:val="00BA19ED"/>
    <w:rsid w:val="00BA300B"/>
    <w:rsid w:val="00BA4B8D"/>
    <w:rsid w:val="00BA59E2"/>
    <w:rsid w:val="00BA7900"/>
    <w:rsid w:val="00BC0F7D"/>
    <w:rsid w:val="00BC4103"/>
    <w:rsid w:val="00BE2A72"/>
    <w:rsid w:val="00BE3255"/>
    <w:rsid w:val="00BE3B9C"/>
    <w:rsid w:val="00BF128E"/>
    <w:rsid w:val="00C02C5C"/>
    <w:rsid w:val="00C1496A"/>
    <w:rsid w:val="00C15F7F"/>
    <w:rsid w:val="00C2281E"/>
    <w:rsid w:val="00C24837"/>
    <w:rsid w:val="00C26810"/>
    <w:rsid w:val="00C33079"/>
    <w:rsid w:val="00C34DDA"/>
    <w:rsid w:val="00C45231"/>
    <w:rsid w:val="00C63D49"/>
    <w:rsid w:val="00C72833"/>
    <w:rsid w:val="00C80F1D"/>
    <w:rsid w:val="00C83BD4"/>
    <w:rsid w:val="00C93F40"/>
    <w:rsid w:val="00C95679"/>
    <w:rsid w:val="00C9693D"/>
    <w:rsid w:val="00CA3D0C"/>
    <w:rsid w:val="00CB51CC"/>
    <w:rsid w:val="00CD0EA6"/>
    <w:rsid w:val="00CD45C9"/>
    <w:rsid w:val="00CE4C40"/>
    <w:rsid w:val="00CF20E3"/>
    <w:rsid w:val="00D008D3"/>
    <w:rsid w:val="00D04514"/>
    <w:rsid w:val="00D07C26"/>
    <w:rsid w:val="00D17573"/>
    <w:rsid w:val="00D3057E"/>
    <w:rsid w:val="00D309CC"/>
    <w:rsid w:val="00D46431"/>
    <w:rsid w:val="00D56A52"/>
    <w:rsid w:val="00D57972"/>
    <w:rsid w:val="00D675A9"/>
    <w:rsid w:val="00D738D6"/>
    <w:rsid w:val="00D755EB"/>
    <w:rsid w:val="00D820C4"/>
    <w:rsid w:val="00D83477"/>
    <w:rsid w:val="00D836CB"/>
    <w:rsid w:val="00D857BA"/>
    <w:rsid w:val="00D8640F"/>
    <w:rsid w:val="00D866D7"/>
    <w:rsid w:val="00D87497"/>
    <w:rsid w:val="00D877CA"/>
    <w:rsid w:val="00D87E00"/>
    <w:rsid w:val="00D9134D"/>
    <w:rsid w:val="00D970EA"/>
    <w:rsid w:val="00DA7A03"/>
    <w:rsid w:val="00DB1818"/>
    <w:rsid w:val="00DC309B"/>
    <w:rsid w:val="00DC4DA2"/>
    <w:rsid w:val="00DC7727"/>
    <w:rsid w:val="00DD03DF"/>
    <w:rsid w:val="00DD4C17"/>
    <w:rsid w:val="00DE676A"/>
    <w:rsid w:val="00DF2B1F"/>
    <w:rsid w:val="00DF6189"/>
    <w:rsid w:val="00DF62CD"/>
    <w:rsid w:val="00E00755"/>
    <w:rsid w:val="00E02E2B"/>
    <w:rsid w:val="00E068AE"/>
    <w:rsid w:val="00E144A6"/>
    <w:rsid w:val="00E16486"/>
    <w:rsid w:val="00E16509"/>
    <w:rsid w:val="00E22E04"/>
    <w:rsid w:val="00E44582"/>
    <w:rsid w:val="00E45E4A"/>
    <w:rsid w:val="00E52814"/>
    <w:rsid w:val="00E72324"/>
    <w:rsid w:val="00E72ABE"/>
    <w:rsid w:val="00E77645"/>
    <w:rsid w:val="00E84530"/>
    <w:rsid w:val="00E87309"/>
    <w:rsid w:val="00E87A96"/>
    <w:rsid w:val="00EB22F4"/>
    <w:rsid w:val="00EC3517"/>
    <w:rsid w:val="00EC454E"/>
    <w:rsid w:val="00EC4A25"/>
    <w:rsid w:val="00ED2E9E"/>
    <w:rsid w:val="00EE2719"/>
    <w:rsid w:val="00EE5AA7"/>
    <w:rsid w:val="00EF433E"/>
    <w:rsid w:val="00EF4B21"/>
    <w:rsid w:val="00F025A2"/>
    <w:rsid w:val="00F04712"/>
    <w:rsid w:val="00F064C8"/>
    <w:rsid w:val="00F07B00"/>
    <w:rsid w:val="00F1639A"/>
    <w:rsid w:val="00F20DA5"/>
    <w:rsid w:val="00F21311"/>
    <w:rsid w:val="00F22EC7"/>
    <w:rsid w:val="00F3025B"/>
    <w:rsid w:val="00F325C8"/>
    <w:rsid w:val="00F3263B"/>
    <w:rsid w:val="00F33616"/>
    <w:rsid w:val="00F62AEB"/>
    <w:rsid w:val="00F63841"/>
    <w:rsid w:val="00F653B8"/>
    <w:rsid w:val="00F70647"/>
    <w:rsid w:val="00FA1266"/>
    <w:rsid w:val="00FA65D0"/>
    <w:rsid w:val="00FC1192"/>
    <w:rsid w:val="00FC41AB"/>
    <w:rsid w:val="00FD1E6E"/>
    <w:rsid w:val="00FD3696"/>
    <w:rsid w:val="00FE2A7F"/>
    <w:rsid w:val="00FE59E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10</Pages>
  <Words>3829</Words>
  <Characters>21830</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25608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Yang Tang</cp:lastModifiedBy>
  <cp:revision>4</cp:revision>
  <cp:lastPrinted>2019-02-25T14:05:00Z</cp:lastPrinted>
  <dcterms:created xsi:type="dcterms:W3CDTF">2021-03-15T19:15:00Z</dcterms:created>
  <dcterms:modified xsi:type="dcterms:W3CDTF">2021-03-15T20:01:00Z</dcterms:modified>
  <cp:category/>
</cp:coreProperties>
</file>